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56" w:rsidRPr="00DD2592" w:rsidRDefault="007F2856" w:rsidP="007F2856">
      <w:pPr>
        <w:spacing w:after="0" w:line="240" w:lineRule="auto"/>
        <w:rPr>
          <w:sz w:val="28"/>
          <w:szCs w:val="28"/>
        </w:rPr>
      </w:pPr>
      <w:r w:rsidRPr="00DD2592">
        <w:rPr>
          <w:b/>
          <w:sz w:val="28"/>
          <w:szCs w:val="28"/>
        </w:rPr>
        <w:t>SPAN 4403</w:t>
      </w:r>
      <w:r w:rsidRPr="00DD2592">
        <w:rPr>
          <w:sz w:val="28"/>
          <w:szCs w:val="28"/>
        </w:rPr>
        <w:t>: Hispanic Dialectology</w:t>
      </w:r>
    </w:p>
    <w:p w:rsidR="00B25EEA" w:rsidRDefault="00B25EEA" w:rsidP="00DD2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DD2592" w:rsidRPr="00DD2592">
        <w:rPr>
          <w:sz w:val="28"/>
          <w:szCs w:val="28"/>
        </w:rPr>
        <w:t>Arturo Fernández</w:t>
      </w:r>
      <w:r>
        <w:rPr>
          <w:sz w:val="28"/>
          <w:szCs w:val="28"/>
        </w:rPr>
        <w:t xml:space="preserve"> Gibert</w:t>
      </w:r>
      <w:r w:rsidR="00DD2592">
        <w:rPr>
          <w:sz w:val="28"/>
          <w:szCs w:val="28"/>
        </w:rPr>
        <w:t xml:space="preserve"> </w:t>
      </w:r>
    </w:p>
    <w:p w:rsidR="00DD2592" w:rsidRPr="005C2AB9" w:rsidRDefault="00DD2592" w:rsidP="00DD25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Department of World Languages and Literatures</w:t>
      </w:r>
    </w:p>
    <w:p w:rsidR="007F2856" w:rsidRDefault="007F2856" w:rsidP="007F2856">
      <w:pPr>
        <w:spacing w:after="0" w:line="240" w:lineRule="auto"/>
        <w:rPr>
          <w:b/>
          <w:sz w:val="24"/>
          <w:szCs w:val="24"/>
        </w:rPr>
      </w:pPr>
    </w:p>
    <w:p w:rsidR="007F2856" w:rsidRDefault="007F2856" w:rsidP="007F2856">
      <w:pPr>
        <w:spacing w:after="0" w:line="240" w:lineRule="auto"/>
        <w:rPr>
          <w:b/>
          <w:sz w:val="24"/>
          <w:szCs w:val="24"/>
        </w:rPr>
      </w:pPr>
    </w:p>
    <w:p w:rsidR="007F2856" w:rsidRPr="00DD2592" w:rsidRDefault="007F2856" w:rsidP="007F2856">
      <w:pPr>
        <w:spacing w:after="0" w:line="240" w:lineRule="auto"/>
        <w:rPr>
          <w:b/>
          <w:sz w:val="28"/>
          <w:szCs w:val="28"/>
        </w:rPr>
      </w:pPr>
      <w:r w:rsidRPr="00DD2592">
        <w:rPr>
          <w:b/>
          <w:sz w:val="28"/>
          <w:szCs w:val="28"/>
        </w:rPr>
        <w:t xml:space="preserve">Learning objectives for </w:t>
      </w:r>
      <w:r w:rsidR="00DD2592">
        <w:rPr>
          <w:b/>
          <w:sz w:val="28"/>
          <w:szCs w:val="28"/>
        </w:rPr>
        <w:t xml:space="preserve">Module #1 </w:t>
      </w:r>
      <w:r w:rsidR="00DD2592" w:rsidRPr="00DD2592">
        <w:rPr>
          <w:sz w:val="28"/>
          <w:szCs w:val="28"/>
        </w:rPr>
        <w:t>(</w:t>
      </w:r>
      <w:r w:rsidR="00B25EEA">
        <w:rPr>
          <w:sz w:val="28"/>
          <w:szCs w:val="28"/>
        </w:rPr>
        <w:t>Weeks 1-5</w:t>
      </w:r>
      <w:r w:rsidR="00DD2592" w:rsidRPr="00DD2592">
        <w:rPr>
          <w:sz w:val="28"/>
          <w:szCs w:val="28"/>
        </w:rPr>
        <w:t>)</w:t>
      </w:r>
    </w:p>
    <w:p w:rsidR="00F17AB4" w:rsidRPr="00F00AF1" w:rsidRDefault="00F17AB4" w:rsidP="007F2856">
      <w:pPr>
        <w:spacing w:after="0" w:line="240" w:lineRule="auto"/>
        <w:rPr>
          <w:b/>
          <w:sz w:val="24"/>
          <w:szCs w:val="24"/>
        </w:rPr>
      </w:pPr>
    </w:p>
    <w:p w:rsidR="00F17AB4" w:rsidRPr="007F2856" w:rsidRDefault="00F17AB4" w:rsidP="00F17AB4">
      <w:pPr>
        <w:pStyle w:val="ListParagraph"/>
        <w:spacing w:after="0" w:line="240" w:lineRule="auto"/>
        <w:ind w:left="0"/>
      </w:pPr>
      <w:r w:rsidRPr="007F2856">
        <w:t xml:space="preserve">1. Students will be able to </w:t>
      </w:r>
      <w:r w:rsidRPr="007F2856">
        <w:rPr>
          <w:b/>
        </w:rPr>
        <w:t>identify</w:t>
      </w:r>
      <w:r w:rsidRPr="007F2856">
        <w:t xml:space="preserve"> the main </w:t>
      </w:r>
      <w:r w:rsidRPr="007F2856">
        <w:rPr>
          <w:b/>
        </w:rPr>
        <w:t>developments in the history</w:t>
      </w:r>
      <w:r w:rsidRPr="007F2856">
        <w:t xml:space="preserve"> of Spanish</w:t>
      </w:r>
    </w:p>
    <w:p w:rsidR="00F17AB4" w:rsidRPr="007F2856" w:rsidRDefault="00F17AB4" w:rsidP="00F17AB4">
      <w:pPr>
        <w:pStyle w:val="ListParagraph"/>
        <w:spacing w:after="0" w:line="240" w:lineRule="auto"/>
        <w:ind w:left="0"/>
      </w:pPr>
    </w:p>
    <w:p w:rsidR="00F17AB4" w:rsidRPr="007F2856" w:rsidRDefault="00F17AB4" w:rsidP="00F17AB4">
      <w:pPr>
        <w:pStyle w:val="ListParagraph"/>
        <w:spacing w:after="0" w:line="240" w:lineRule="auto"/>
        <w:ind w:left="180" w:hanging="180"/>
      </w:pPr>
      <w:r w:rsidRPr="007F2856">
        <w:t xml:space="preserve">2. Students will be able to </w:t>
      </w:r>
      <w:r w:rsidRPr="007F2856">
        <w:rPr>
          <w:b/>
        </w:rPr>
        <w:t>describe</w:t>
      </w:r>
      <w:r w:rsidRPr="007F2856">
        <w:t xml:space="preserve"> the </w:t>
      </w:r>
      <w:r w:rsidRPr="007F2856">
        <w:rPr>
          <w:b/>
        </w:rPr>
        <w:t>geographical areas</w:t>
      </w:r>
      <w:r w:rsidRPr="007F2856">
        <w:t xml:space="preserve"> associated to distinct varieties of Spanish: </w:t>
      </w:r>
      <w:r w:rsidRPr="007F2856">
        <w:rPr>
          <w:b/>
          <w:i/>
        </w:rPr>
        <w:t>Highlands</w:t>
      </w:r>
      <w:r w:rsidRPr="007F2856">
        <w:t xml:space="preserve"> vs. </w:t>
      </w:r>
      <w:r w:rsidRPr="007F2856">
        <w:rPr>
          <w:b/>
          <w:i/>
        </w:rPr>
        <w:t>Lowlands</w:t>
      </w:r>
      <w:r w:rsidRPr="007F2856">
        <w:t xml:space="preserve"> distinction</w:t>
      </w:r>
    </w:p>
    <w:p w:rsidR="00F17AB4" w:rsidRPr="007F2856" w:rsidRDefault="00F17AB4" w:rsidP="00F17AB4">
      <w:pPr>
        <w:pStyle w:val="ListParagraph"/>
        <w:spacing w:after="0" w:line="240" w:lineRule="auto"/>
        <w:ind w:left="180" w:hanging="180"/>
      </w:pPr>
    </w:p>
    <w:p w:rsidR="00F17AB4" w:rsidRPr="007F2856" w:rsidRDefault="00F17AB4" w:rsidP="00F17AB4">
      <w:pPr>
        <w:pStyle w:val="ListParagraph"/>
        <w:spacing w:after="0" w:line="240" w:lineRule="auto"/>
        <w:ind w:left="180" w:hanging="180"/>
        <w:rPr>
          <w:b/>
          <w:i/>
        </w:rPr>
      </w:pPr>
      <w:r w:rsidRPr="007F2856">
        <w:t xml:space="preserve">3. Students will be able to explain the </w:t>
      </w:r>
      <w:r w:rsidR="00F00AF1" w:rsidRPr="007F2856">
        <w:t xml:space="preserve">linguistic </w:t>
      </w:r>
      <w:r w:rsidRPr="007F2856">
        <w:t xml:space="preserve">features </w:t>
      </w:r>
      <w:r w:rsidR="00F00AF1" w:rsidRPr="007F2856">
        <w:t>(</w:t>
      </w:r>
      <w:r w:rsidR="00F00AF1" w:rsidRPr="007F2856">
        <w:rPr>
          <w:b/>
        </w:rPr>
        <w:t>phonetic</w:t>
      </w:r>
      <w:r w:rsidR="00F00AF1" w:rsidRPr="007F2856">
        <w:t xml:space="preserve">) </w:t>
      </w:r>
      <w:r w:rsidRPr="007F2856">
        <w:t>associated to geographical areas where Spanish dialects are spoken</w:t>
      </w:r>
      <w:r w:rsidRPr="007F2856">
        <w:rPr>
          <w:b/>
          <w:i/>
        </w:rPr>
        <w:t>: Strong consonantism</w:t>
      </w:r>
      <w:r w:rsidRPr="007F2856">
        <w:t xml:space="preserve"> vs. </w:t>
      </w:r>
      <w:r w:rsidRPr="007F2856">
        <w:rPr>
          <w:b/>
          <w:i/>
        </w:rPr>
        <w:t>Weak consonantism</w:t>
      </w:r>
    </w:p>
    <w:p w:rsidR="000F3498" w:rsidRPr="007F2856" w:rsidRDefault="000F3498"/>
    <w:p w:rsidR="00F00AF1" w:rsidRPr="007F2856" w:rsidRDefault="00F00AF1" w:rsidP="00F00AF1">
      <w:pPr>
        <w:ind w:left="270" w:hanging="270"/>
      </w:pPr>
      <w:r w:rsidRPr="007F2856">
        <w:t xml:space="preserve">4. Students will be able to understand </w:t>
      </w:r>
      <w:r w:rsidRPr="007F2856">
        <w:rPr>
          <w:b/>
        </w:rPr>
        <w:t>linguistic</w:t>
      </w:r>
      <w:r w:rsidRPr="007F2856">
        <w:t xml:space="preserve"> </w:t>
      </w:r>
      <w:r w:rsidRPr="007F2856">
        <w:rPr>
          <w:b/>
        </w:rPr>
        <w:t>patterns</w:t>
      </w:r>
      <w:r w:rsidRPr="007F2856">
        <w:t xml:space="preserve"> associated to distinct varieties of Spanish: concepts of </w:t>
      </w:r>
      <w:r w:rsidRPr="007F2856">
        <w:rPr>
          <w:b/>
        </w:rPr>
        <w:t>language variation and change</w:t>
      </w:r>
    </w:p>
    <w:p w:rsidR="00F00AF1" w:rsidRPr="007F2856" w:rsidRDefault="00F00AF1">
      <w:r w:rsidRPr="007F2856">
        <w:t xml:space="preserve"> </w:t>
      </w:r>
    </w:p>
    <w:p w:rsidR="00F00AF1" w:rsidRPr="00DD2592" w:rsidRDefault="00F00AF1" w:rsidP="007F2856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DD2592">
        <w:rPr>
          <w:rFonts w:asciiTheme="minorHAnsi" w:hAnsiTheme="minorHAnsi" w:cstheme="minorHAnsi"/>
          <w:b/>
          <w:sz w:val="28"/>
          <w:szCs w:val="28"/>
        </w:rPr>
        <w:t>Grading rubric</w:t>
      </w:r>
    </w:p>
    <w:p w:rsidR="007F2856" w:rsidRDefault="007F2856" w:rsidP="007F2856"/>
    <w:p w:rsidR="00DD2592" w:rsidRPr="007F2856" w:rsidRDefault="00DD2592" w:rsidP="007F2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0AF1" w:rsidRPr="007F2856" w:rsidTr="00222B04">
        <w:tc>
          <w:tcPr>
            <w:tcW w:w="2337" w:type="dxa"/>
            <w:shd w:val="clear" w:color="auto" w:fill="5B9BD5" w:themeFill="accent1"/>
          </w:tcPr>
          <w:p w:rsidR="00F00AF1" w:rsidRPr="007F2856" w:rsidRDefault="00F00AF1" w:rsidP="00F00AF1">
            <w:pPr>
              <w:jc w:val="center"/>
            </w:pPr>
          </w:p>
        </w:tc>
        <w:tc>
          <w:tcPr>
            <w:tcW w:w="2337" w:type="dxa"/>
            <w:shd w:val="clear" w:color="auto" w:fill="5B9BD5" w:themeFill="accent1"/>
          </w:tcPr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  <w:r w:rsidRPr="007F2856">
              <w:t>A</w:t>
            </w:r>
          </w:p>
          <w:p w:rsidR="00F00AF1" w:rsidRPr="007F2856" w:rsidRDefault="00F00AF1" w:rsidP="00F00AF1">
            <w:pPr>
              <w:jc w:val="center"/>
            </w:pPr>
          </w:p>
        </w:tc>
        <w:tc>
          <w:tcPr>
            <w:tcW w:w="2338" w:type="dxa"/>
            <w:shd w:val="clear" w:color="auto" w:fill="5B9BD5" w:themeFill="accent1"/>
          </w:tcPr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  <w:r w:rsidRPr="007F2856">
              <w:t>B</w:t>
            </w:r>
          </w:p>
        </w:tc>
        <w:tc>
          <w:tcPr>
            <w:tcW w:w="2338" w:type="dxa"/>
            <w:shd w:val="clear" w:color="auto" w:fill="5B9BD5" w:themeFill="accent1"/>
          </w:tcPr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  <w:r w:rsidRPr="007F2856">
              <w:t>C</w:t>
            </w:r>
          </w:p>
        </w:tc>
      </w:tr>
      <w:tr w:rsidR="00F00AF1" w:rsidRPr="007F2856" w:rsidTr="00AF2D14">
        <w:tc>
          <w:tcPr>
            <w:tcW w:w="2337" w:type="dxa"/>
            <w:shd w:val="clear" w:color="auto" w:fill="BDD6EE" w:themeFill="accent1" w:themeFillTint="66"/>
          </w:tcPr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</w:pPr>
          </w:p>
          <w:p w:rsidR="00F00AF1" w:rsidRPr="007F2856" w:rsidRDefault="00F00AF1" w:rsidP="00F00AF1">
            <w:pPr>
              <w:jc w:val="center"/>
              <w:rPr>
                <w:b/>
              </w:rPr>
            </w:pPr>
            <w:r w:rsidRPr="007F2856">
              <w:rPr>
                <w:b/>
              </w:rPr>
              <w:t xml:space="preserve">Spanish in the world: Spatial, Historic and Linguistic Divides  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F00AF1" w:rsidRPr="007F2856" w:rsidRDefault="00F00AF1" w:rsidP="00F00AF1">
            <w:pPr>
              <w:ind w:left="180" w:hanging="180"/>
            </w:pPr>
          </w:p>
          <w:p w:rsidR="00F00AF1" w:rsidRPr="007F2856" w:rsidRDefault="00F00AF1" w:rsidP="00F00AF1">
            <w:pPr>
              <w:ind w:left="180" w:hanging="180"/>
            </w:pPr>
            <w:r w:rsidRPr="007F2856">
              <w:t>1. Show proximity degrees defining dialectal areas</w:t>
            </w:r>
          </w:p>
          <w:p w:rsidR="00F00AF1" w:rsidRPr="007F2856" w:rsidRDefault="00F00AF1" w:rsidP="00F00AF1">
            <w:pPr>
              <w:ind w:left="180" w:hanging="180"/>
            </w:pPr>
          </w:p>
          <w:p w:rsidR="00F00AF1" w:rsidRPr="007F2856" w:rsidRDefault="00F00AF1" w:rsidP="00F00AF1">
            <w:pPr>
              <w:ind w:left="180" w:hanging="180"/>
            </w:pPr>
            <w:r w:rsidRPr="007F2856">
              <w:t>2. Apply linguistic features to map the linguistic continuum across Spanish-speaking regions</w:t>
            </w:r>
          </w:p>
          <w:p w:rsidR="00F00AF1" w:rsidRDefault="00F00AF1" w:rsidP="00F00AF1"/>
          <w:p w:rsidR="00B9120B" w:rsidRPr="007F2856" w:rsidRDefault="00B9120B" w:rsidP="00F00AF1"/>
          <w:p w:rsidR="00F00AF1" w:rsidRPr="007F2856" w:rsidRDefault="00F00AF1" w:rsidP="00F00AF1">
            <w:pPr>
              <w:ind w:left="180" w:hanging="180"/>
            </w:pPr>
            <w:r w:rsidRPr="007F2856">
              <w:t>3. Distinguish patterns of language variation and change in the Spanish-speaking world</w:t>
            </w:r>
          </w:p>
          <w:p w:rsidR="00F00AF1" w:rsidRPr="007F2856" w:rsidRDefault="00F00AF1" w:rsidP="00F00AF1">
            <w:pPr>
              <w:ind w:left="180" w:hanging="180"/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F00AF1" w:rsidRPr="007F2856" w:rsidRDefault="00F00AF1" w:rsidP="00F00AF1">
            <w:pPr>
              <w:ind w:left="200" w:hanging="200"/>
            </w:pPr>
          </w:p>
          <w:p w:rsidR="00F00AF1" w:rsidRPr="007F2856" w:rsidRDefault="00F00AF1" w:rsidP="00F00AF1">
            <w:pPr>
              <w:ind w:left="200" w:hanging="200"/>
            </w:pPr>
            <w:r w:rsidRPr="007F2856">
              <w:t>1. Describe patterns of geographical coincidence/disparity</w:t>
            </w:r>
          </w:p>
          <w:p w:rsidR="00F00AF1" w:rsidRPr="007F2856" w:rsidRDefault="00F00AF1" w:rsidP="00F00AF1"/>
          <w:p w:rsidR="00F00AF1" w:rsidRPr="007F2856" w:rsidRDefault="00F00AF1" w:rsidP="00F00AF1">
            <w:pPr>
              <w:ind w:left="250" w:hanging="250"/>
            </w:pPr>
            <w:r w:rsidRPr="007F2856">
              <w:t>2. Describe relevant relationships between geographic location and historic developments</w:t>
            </w:r>
          </w:p>
          <w:p w:rsidR="00F00AF1" w:rsidRPr="007F2856" w:rsidRDefault="00F00AF1" w:rsidP="00F00AF1">
            <w:pPr>
              <w:ind w:left="290" w:hanging="290"/>
            </w:pPr>
          </w:p>
          <w:p w:rsidR="00F00AF1" w:rsidRPr="007F2856" w:rsidRDefault="00F00AF1" w:rsidP="00F00AF1">
            <w:pPr>
              <w:ind w:left="290" w:hanging="290"/>
            </w:pPr>
          </w:p>
          <w:p w:rsidR="00F00AF1" w:rsidRPr="007F2856" w:rsidRDefault="00F00AF1" w:rsidP="00F00AF1">
            <w:pPr>
              <w:ind w:left="250" w:hanging="250"/>
            </w:pPr>
            <w:r w:rsidRPr="007F2856">
              <w:t>3. Explain linguistic markers and their effects in identifying distinct varieties</w:t>
            </w:r>
          </w:p>
          <w:p w:rsidR="00F00AF1" w:rsidRPr="007F2856" w:rsidRDefault="00F00AF1" w:rsidP="00F00AF1">
            <w:pPr>
              <w:ind w:left="290" w:hanging="290"/>
            </w:pPr>
          </w:p>
        </w:tc>
        <w:tc>
          <w:tcPr>
            <w:tcW w:w="2338" w:type="dxa"/>
            <w:shd w:val="clear" w:color="auto" w:fill="BDD6EE" w:themeFill="accent1" w:themeFillTint="66"/>
          </w:tcPr>
          <w:p w:rsidR="00F00AF1" w:rsidRPr="007F2856" w:rsidRDefault="00F00AF1" w:rsidP="00F00AF1">
            <w:pPr>
              <w:ind w:left="250" w:hanging="250"/>
            </w:pPr>
          </w:p>
          <w:p w:rsidR="00F00AF1" w:rsidRPr="007F2856" w:rsidRDefault="00F00AF1" w:rsidP="00F00AF1">
            <w:pPr>
              <w:ind w:left="250" w:hanging="250"/>
            </w:pPr>
            <w:r w:rsidRPr="007F2856">
              <w:t>1. Identify the areas where Spanish is spoken</w:t>
            </w:r>
          </w:p>
          <w:p w:rsidR="00F00AF1" w:rsidRPr="007F2856" w:rsidRDefault="00F00AF1" w:rsidP="00F00AF1"/>
          <w:p w:rsidR="00F00AF1" w:rsidRPr="007F2856" w:rsidRDefault="00F00AF1" w:rsidP="00F00AF1">
            <w:pPr>
              <w:ind w:left="250" w:hanging="250"/>
            </w:pPr>
            <w:r w:rsidRPr="007F2856">
              <w:t>2. Define historic developments affecting Spanish and its expansion throughout the world</w:t>
            </w:r>
          </w:p>
          <w:p w:rsidR="00F00AF1" w:rsidRPr="007F2856" w:rsidRDefault="00F00AF1" w:rsidP="00F00AF1"/>
          <w:p w:rsidR="00F00AF1" w:rsidRPr="007F2856" w:rsidRDefault="00F00AF1" w:rsidP="00F00AF1">
            <w:pPr>
              <w:ind w:left="250" w:hanging="250"/>
            </w:pPr>
            <w:r w:rsidRPr="007F2856">
              <w:t>3. Identify linguistic  markers establishing differences</w:t>
            </w:r>
          </w:p>
          <w:p w:rsidR="00F00AF1" w:rsidRPr="007F2856" w:rsidRDefault="00F00AF1" w:rsidP="00F00AF1">
            <w:r w:rsidRPr="007F2856">
              <w:t xml:space="preserve"> </w:t>
            </w:r>
          </w:p>
        </w:tc>
      </w:tr>
    </w:tbl>
    <w:p w:rsidR="00F00AF1" w:rsidRDefault="00F00AF1" w:rsidP="00222B04">
      <w:pPr>
        <w:spacing w:after="0" w:line="240" w:lineRule="auto"/>
        <w:rPr>
          <w:sz w:val="24"/>
          <w:szCs w:val="24"/>
        </w:rPr>
      </w:pPr>
    </w:p>
    <w:p w:rsidR="000F33E5" w:rsidRDefault="000F33E5" w:rsidP="00222B04">
      <w:pPr>
        <w:spacing w:after="0" w:line="240" w:lineRule="auto"/>
        <w:rPr>
          <w:sz w:val="24"/>
          <w:szCs w:val="24"/>
        </w:rPr>
      </w:pPr>
    </w:p>
    <w:p w:rsidR="00DD2592" w:rsidRDefault="00DD2592" w:rsidP="00222B04">
      <w:pPr>
        <w:spacing w:after="0" w:line="240" w:lineRule="auto"/>
        <w:rPr>
          <w:sz w:val="24"/>
          <w:szCs w:val="24"/>
        </w:rPr>
      </w:pPr>
    </w:p>
    <w:p w:rsidR="00222B04" w:rsidRPr="00DD2592" w:rsidRDefault="00222B04" w:rsidP="00222B04">
      <w:pPr>
        <w:spacing w:after="0" w:line="240" w:lineRule="auto"/>
        <w:rPr>
          <w:b/>
          <w:sz w:val="28"/>
          <w:szCs w:val="28"/>
        </w:rPr>
      </w:pPr>
      <w:r w:rsidRPr="00DD2592">
        <w:rPr>
          <w:b/>
          <w:sz w:val="28"/>
          <w:szCs w:val="28"/>
        </w:rPr>
        <w:lastRenderedPageBreak/>
        <w:t>Assessment</w:t>
      </w:r>
    </w:p>
    <w:p w:rsidR="00A57B84" w:rsidRPr="00A57B84" w:rsidRDefault="00A57B84" w:rsidP="00222B04">
      <w:pPr>
        <w:spacing w:after="0" w:line="240" w:lineRule="auto"/>
      </w:pPr>
    </w:p>
    <w:p w:rsidR="000F33E5" w:rsidRPr="00C76D36" w:rsidRDefault="00A57B84" w:rsidP="00222B04">
      <w:pPr>
        <w:spacing w:after="0" w:line="240" w:lineRule="auto"/>
        <w:rPr>
          <w:i/>
        </w:rPr>
      </w:pPr>
      <w:r w:rsidRPr="00C76D36">
        <w:rPr>
          <w:i/>
        </w:rPr>
        <w:t>1. Diagnostic Assessment</w:t>
      </w:r>
    </w:p>
    <w:p w:rsidR="00A57B84" w:rsidRDefault="00A57B84" w:rsidP="00222B04">
      <w:pPr>
        <w:spacing w:after="0" w:line="240" w:lineRule="auto"/>
      </w:pPr>
    </w:p>
    <w:p w:rsidR="009C3CB6" w:rsidRDefault="009C3CB6" w:rsidP="009C3CB6">
      <w:pPr>
        <w:spacing w:after="0" w:line="240" w:lineRule="auto"/>
        <w:ind w:left="270" w:hanging="270"/>
      </w:pPr>
      <w:r>
        <w:tab/>
      </w:r>
      <w:r w:rsidR="005E1611">
        <w:t>The first day of classes, b</w:t>
      </w:r>
      <w:r>
        <w:t xml:space="preserve">efore the introduction to the </w:t>
      </w:r>
      <w:r w:rsidRPr="00DD2592">
        <w:rPr>
          <w:b/>
        </w:rPr>
        <w:t>first module</w:t>
      </w:r>
      <w:r w:rsidR="00B25EEA">
        <w:t xml:space="preserve"> (</w:t>
      </w:r>
      <w:r w:rsidR="00B25EEA" w:rsidRPr="00B25EEA">
        <w:rPr>
          <w:b/>
        </w:rPr>
        <w:t>Week #1 to Week #5</w:t>
      </w:r>
      <w:r w:rsidR="00DD2592">
        <w:t xml:space="preserve">), I </w:t>
      </w:r>
      <w:r>
        <w:t xml:space="preserve">administer a </w:t>
      </w:r>
      <w:r w:rsidRPr="00153DE4">
        <w:rPr>
          <w:b/>
          <w:i/>
        </w:rPr>
        <w:t>questionnaire</w:t>
      </w:r>
      <w:r>
        <w:t xml:space="preserve"> to find out the current and actual knowledge students have of Hispanic Dialectology</w:t>
      </w:r>
      <w:r w:rsidR="00DD2592">
        <w:t xml:space="preserve">. Questions </w:t>
      </w:r>
      <w:r w:rsidR="00313F84">
        <w:t>include:</w:t>
      </w:r>
    </w:p>
    <w:p w:rsidR="00313F84" w:rsidRDefault="00313F84" w:rsidP="009C3CB6">
      <w:pPr>
        <w:spacing w:after="0" w:line="240" w:lineRule="auto"/>
        <w:ind w:left="270" w:hanging="270"/>
      </w:pPr>
    </w:p>
    <w:p w:rsidR="00313F84" w:rsidRDefault="00237BB4" w:rsidP="00237BB4">
      <w:pPr>
        <w:pStyle w:val="ListParagraph"/>
        <w:numPr>
          <w:ilvl w:val="1"/>
          <w:numId w:val="1"/>
        </w:numPr>
        <w:spacing w:after="0" w:line="240" w:lineRule="auto"/>
      </w:pPr>
      <w:r>
        <w:t>Why are you taking this course?</w:t>
      </w:r>
    </w:p>
    <w:p w:rsidR="00237BB4" w:rsidRDefault="00237BB4" w:rsidP="00237BB4">
      <w:pPr>
        <w:pStyle w:val="ListParagraph"/>
        <w:numPr>
          <w:ilvl w:val="1"/>
          <w:numId w:val="1"/>
        </w:numPr>
        <w:spacing w:after="0" w:line="240" w:lineRule="auto"/>
      </w:pPr>
      <w:r>
        <w:t>What do you want to pursue as a career?</w:t>
      </w:r>
    </w:p>
    <w:p w:rsidR="00237BB4" w:rsidRDefault="00237BB4" w:rsidP="00237BB4">
      <w:pPr>
        <w:pStyle w:val="ListParagraph"/>
        <w:numPr>
          <w:ilvl w:val="1"/>
          <w:numId w:val="1"/>
        </w:numPr>
        <w:spacing w:after="0" w:line="240" w:lineRule="auto"/>
      </w:pPr>
      <w:r>
        <w:t>Is Spanish your first/native language?</w:t>
      </w:r>
    </w:p>
    <w:p w:rsidR="00237BB4" w:rsidRDefault="00237BB4" w:rsidP="00237BB4">
      <w:pPr>
        <w:pStyle w:val="ListParagraph"/>
        <w:numPr>
          <w:ilvl w:val="1"/>
          <w:numId w:val="1"/>
        </w:numPr>
        <w:spacing w:after="0" w:line="240" w:lineRule="auto"/>
      </w:pPr>
      <w:r>
        <w:t>In a scale from 1 to 10, 1 being a monolingual Spanish speaker, 10 being a monolingual English speaker, and 5 for a perfectly balanced Spanish/English bilingual individual, where do you think you are?</w:t>
      </w:r>
    </w:p>
    <w:p w:rsidR="00237BB4" w:rsidRDefault="00237BB4" w:rsidP="00237BB4">
      <w:pPr>
        <w:pStyle w:val="ListParagraph"/>
        <w:numPr>
          <w:ilvl w:val="1"/>
          <w:numId w:val="1"/>
        </w:numPr>
        <w:spacing w:after="0" w:line="240" w:lineRule="auto"/>
      </w:pPr>
      <w:r>
        <w:t>How many varieties of Spanish (Mexican, Central American, Caribbean, Castilian, Andean, Rioplatense, etc.) have you come in contact with, and in what circumstances?</w:t>
      </w:r>
    </w:p>
    <w:p w:rsidR="00237BB4" w:rsidRDefault="00237BB4" w:rsidP="00237BB4">
      <w:pPr>
        <w:pStyle w:val="ListParagraph"/>
        <w:numPr>
          <w:ilvl w:val="1"/>
          <w:numId w:val="1"/>
        </w:numPr>
        <w:spacing w:after="0" w:line="240" w:lineRule="auto"/>
      </w:pPr>
      <w:r>
        <w:t>What do you expect to learn from this course?</w:t>
      </w:r>
    </w:p>
    <w:p w:rsidR="009C3CB6" w:rsidRPr="00A57B84" w:rsidRDefault="009C3CB6" w:rsidP="009C3CB6">
      <w:pPr>
        <w:spacing w:after="0" w:line="240" w:lineRule="auto"/>
        <w:ind w:left="270" w:hanging="270"/>
      </w:pPr>
      <w:r>
        <w:tab/>
      </w:r>
    </w:p>
    <w:p w:rsidR="00A57B84" w:rsidRPr="00A57B84" w:rsidRDefault="00A57B84" w:rsidP="00222B04">
      <w:pPr>
        <w:spacing w:after="0" w:line="240" w:lineRule="auto"/>
      </w:pPr>
    </w:p>
    <w:p w:rsidR="00A57B84" w:rsidRPr="00C76D36" w:rsidRDefault="00A57B84" w:rsidP="00222B04">
      <w:pPr>
        <w:spacing w:after="0" w:line="240" w:lineRule="auto"/>
        <w:rPr>
          <w:i/>
        </w:rPr>
      </w:pPr>
      <w:r w:rsidRPr="00C76D36">
        <w:rPr>
          <w:i/>
        </w:rPr>
        <w:t>2. Formative Assessment</w:t>
      </w:r>
      <w:r w:rsidR="00352F88">
        <w:rPr>
          <w:i/>
        </w:rPr>
        <w:t>s</w:t>
      </w:r>
    </w:p>
    <w:p w:rsidR="00237BB4" w:rsidRDefault="00237BB4" w:rsidP="00222B04">
      <w:pPr>
        <w:spacing w:after="0" w:line="240" w:lineRule="auto"/>
      </w:pPr>
    </w:p>
    <w:p w:rsidR="00237BB4" w:rsidRDefault="00DD2592" w:rsidP="00153DE4">
      <w:pPr>
        <w:spacing w:after="0" w:line="240" w:lineRule="auto"/>
        <w:ind w:left="270" w:hanging="270"/>
      </w:pPr>
      <w:r>
        <w:tab/>
        <w:t xml:space="preserve">I </w:t>
      </w:r>
      <w:r w:rsidR="00153DE4">
        <w:t>g</w:t>
      </w:r>
      <w:r w:rsidR="00352F88">
        <w:t>ive students three</w:t>
      </w:r>
      <w:r w:rsidR="00A45552">
        <w:t xml:space="preserve"> formative short</w:t>
      </w:r>
      <w:r w:rsidR="00153DE4">
        <w:t xml:space="preserve"> </w:t>
      </w:r>
      <w:r w:rsidR="00AF2D14">
        <w:rPr>
          <w:b/>
          <w:i/>
        </w:rPr>
        <w:t>quiz</w:t>
      </w:r>
      <w:r w:rsidR="00352F88">
        <w:rPr>
          <w:b/>
          <w:i/>
        </w:rPr>
        <w:t>zes</w:t>
      </w:r>
      <w:r w:rsidR="00153DE4">
        <w:t xml:space="preserve"> </w:t>
      </w:r>
      <w:r w:rsidR="00352F88">
        <w:t xml:space="preserve">at the end of </w:t>
      </w:r>
      <w:r w:rsidR="00A45552">
        <w:t>week</w:t>
      </w:r>
      <w:r w:rsidR="00352F88">
        <w:t>s #2, #3, and #4 throughout this</w:t>
      </w:r>
      <w:r w:rsidR="00B25EEA">
        <w:t xml:space="preserve"> first </w:t>
      </w:r>
      <w:r w:rsidR="00153DE4">
        <w:t>module</w:t>
      </w:r>
      <w:r w:rsidR="00A45552">
        <w:t xml:space="preserve">, immediately </w:t>
      </w:r>
      <w:r w:rsidR="00352F88">
        <w:t>following each weekly</w:t>
      </w:r>
      <w:r w:rsidR="00153DE4">
        <w:t xml:space="preserve"> introduction of the new concepts/topics</w:t>
      </w:r>
      <w:r w:rsidR="00A45552">
        <w:t xml:space="preserve"> (week</w:t>
      </w:r>
      <w:r w:rsidR="00B25EEA">
        <w:t>s</w:t>
      </w:r>
      <w:r w:rsidR="00A45552">
        <w:t xml:space="preserve"> #1</w:t>
      </w:r>
      <w:r w:rsidR="00352F88">
        <w:t xml:space="preserve"> through #5</w:t>
      </w:r>
      <w:r w:rsidR="00A45552">
        <w:t>), using a few simple questions (multiple choice, fill-in the blank, true/false), giving only credit/no-c</w:t>
      </w:r>
      <w:r>
        <w:t xml:space="preserve">redit for completion. This </w:t>
      </w:r>
      <w:r w:rsidR="00A45552">
        <w:t>allow</w:t>
      </w:r>
      <w:r>
        <w:t>s</w:t>
      </w:r>
      <w:r w:rsidR="00A45552">
        <w:t xml:space="preserve"> me and my students monitor understanding and prepare</w:t>
      </w:r>
      <w:r w:rsidR="00352F88">
        <w:t>dness to move on into the following</w:t>
      </w:r>
      <w:r w:rsidR="00A45552">
        <w:t xml:space="preserve"> week, when students would have finished the readings and contributed in the discussion forum. </w:t>
      </w:r>
      <w:r w:rsidR="00153DE4">
        <w:t xml:space="preserve"> </w:t>
      </w:r>
    </w:p>
    <w:p w:rsidR="00153DE4" w:rsidRDefault="00153DE4" w:rsidP="00153DE4">
      <w:pPr>
        <w:spacing w:after="0" w:line="240" w:lineRule="auto"/>
        <w:ind w:left="270" w:hanging="270"/>
      </w:pPr>
    </w:p>
    <w:p w:rsidR="005170CF" w:rsidRDefault="00352F88" w:rsidP="00153DE4">
      <w:pPr>
        <w:spacing w:after="0" w:line="240" w:lineRule="auto"/>
        <w:ind w:left="270" w:hanging="270"/>
      </w:pPr>
      <w:r>
        <w:tab/>
        <w:t>Sample of formative assessments</w:t>
      </w:r>
    </w:p>
    <w:p w:rsidR="00352F88" w:rsidRDefault="00352F88" w:rsidP="00153DE4">
      <w:pPr>
        <w:spacing w:after="0" w:line="240" w:lineRule="auto"/>
        <w:ind w:left="270" w:hanging="270"/>
      </w:pPr>
    </w:p>
    <w:p w:rsidR="00153DE4" w:rsidRPr="00C76D36" w:rsidRDefault="00153DE4" w:rsidP="00153DE4">
      <w:pPr>
        <w:spacing w:after="0" w:line="240" w:lineRule="auto"/>
        <w:ind w:left="270" w:hanging="270"/>
        <w:rPr>
          <w:sz w:val="24"/>
          <w:szCs w:val="24"/>
        </w:rPr>
      </w:pPr>
      <w:r>
        <w:tab/>
      </w:r>
      <w:r w:rsidR="00C76D36" w:rsidRPr="00C76D36">
        <w:rPr>
          <w:b/>
          <w:sz w:val="24"/>
          <w:szCs w:val="24"/>
        </w:rPr>
        <w:t>Quiz #1</w:t>
      </w:r>
      <w:r w:rsidR="00C76D36">
        <w:rPr>
          <w:sz w:val="24"/>
          <w:szCs w:val="24"/>
        </w:rPr>
        <w:t xml:space="preserve"> (W</w:t>
      </w:r>
      <w:r w:rsidRPr="00C76D36">
        <w:rPr>
          <w:sz w:val="24"/>
          <w:szCs w:val="24"/>
        </w:rPr>
        <w:t>eek</w:t>
      </w:r>
      <w:r w:rsidR="00B25EEA">
        <w:rPr>
          <w:sz w:val="24"/>
          <w:szCs w:val="24"/>
        </w:rPr>
        <w:t xml:space="preserve"> #2</w:t>
      </w:r>
      <w:r w:rsidRPr="00C76D36">
        <w:rPr>
          <w:sz w:val="24"/>
          <w:szCs w:val="24"/>
        </w:rPr>
        <w:t>)</w:t>
      </w:r>
    </w:p>
    <w:p w:rsidR="00A45552" w:rsidRDefault="00A45552" w:rsidP="00153DE4">
      <w:pPr>
        <w:spacing w:after="0" w:line="240" w:lineRule="auto"/>
        <w:ind w:left="270" w:hanging="270"/>
      </w:pPr>
    </w:p>
    <w:tbl>
      <w:tblPr>
        <w:tblStyle w:val="TableGrid"/>
        <w:tblW w:w="9895" w:type="dxa"/>
        <w:tblInd w:w="270" w:type="dxa"/>
        <w:tblLook w:val="04A0" w:firstRow="1" w:lastRow="0" w:firstColumn="1" w:lastColumn="0" w:noHBand="0" w:noVBand="1"/>
      </w:tblPr>
      <w:tblGrid>
        <w:gridCol w:w="2515"/>
        <w:gridCol w:w="5130"/>
        <w:gridCol w:w="1080"/>
        <w:gridCol w:w="1170"/>
      </w:tblGrid>
      <w:tr w:rsidR="00151CFC" w:rsidTr="00AF2D14">
        <w:tc>
          <w:tcPr>
            <w:tcW w:w="2515" w:type="dxa"/>
            <w:vMerge w:val="restart"/>
            <w:shd w:val="clear" w:color="auto" w:fill="F4B083" w:themeFill="accent2" w:themeFillTint="99"/>
          </w:tcPr>
          <w:p w:rsidR="00151CFC" w:rsidRDefault="00151CFC" w:rsidP="00A45552">
            <w:pPr>
              <w:jc w:val="center"/>
            </w:pPr>
          </w:p>
          <w:p w:rsidR="00151CFC" w:rsidRDefault="00151CFC" w:rsidP="005170CF"/>
          <w:p w:rsidR="00151CFC" w:rsidRDefault="00151CFC" w:rsidP="005170CF"/>
          <w:p w:rsidR="00151CFC" w:rsidRDefault="00151CFC" w:rsidP="005170CF"/>
          <w:p w:rsidR="00151CFC" w:rsidRDefault="00151CFC" w:rsidP="005170CF"/>
          <w:p w:rsidR="00151CFC" w:rsidRDefault="00151CFC" w:rsidP="005170CF"/>
          <w:p w:rsidR="00151CFC" w:rsidRDefault="00151CFC" w:rsidP="005170CF">
            <w:r>
              <w:t>CO 1:</w:t>
            </w:r>
          </w:p>
          <w:p w:rsidR="00151CFC" w:rsidRDefault="00151CFC" w:rsidP="005170CF"/>
          <w:p w:rsidR="00151CFC" w:rsidRDefault="00151CFC" w:rsidP="005170CF">
            <w:r>
              <w:t>Language variation and change</w:t>
            </w:r>
          </w:p>
        </w:tc>
        <w:tc>
          <w:tcPr>
            <w:tcW w:w="5130" w:type="dxa"/>
            <w:shd w:val="clear" w:color="auto" w:fill="5B9BD5" w:themeFill="accent1"/>
          </w:tcPr>
          <w:p w:rsidR="00151CFC" w:rsidRDefault="00151CFC" w:rsidP="00A45552">
            <w:pPr>
              <w:jc w:val="center"/>
            </w:pPr>
          </w:p>
          <w:p w:rsidR="00151CFC" w:rsidRDefault="00AF2D14" w:rsidP="00A45552">
            <w:pPr>
              <w:jc w:val="center"/>
            </w:pPr>
            <w:r>
              <w:t>Type of Question</w:t>
            </w:r>
          </w:p>
          <w:p w:rsidR="00151CFC" w:rsidRDefault="00151CFC" w:rsidP="00A45552">
            <w:pPr>
              <w:jc w:val="center"/>
            </w:pPr>
          </w:p>
        </w:tc>
        <w:tc>
          <w:tcPr>
            <w:tcW w:w="1080" w:type="dxa"/>
            <w:shd w:val="clear" w:color="auto" w:fill="5B9BD5" w:themeFill="accent1"/>
          </w:tcPr>
          <w:p w:rsidR="00151CFC" w:rsidRDefault="00151CFC" w:rsidP="00A45552">
            <w:pPr>
              <w:jc w:val="center"/>
            </w:pPr>
          </w:p>
          <w:p w:rsidR="00151CFC" w:rsidRDefault="00151CFC" w:rsidP="00A45552">
            <w:pPr>
              <w:jc w:val="center"/>
            </w:pPr>
            <w:r>
              <w:t>Credit</w:t>
            </w:r>
          </w:p>
        </w:tc>
        <w:tc>
          <w:tcPr>
            <w:tcW w:w="1170" w:type="dxa"/>
            <w:shd w:val="clear" w:color="auto" w:fill="5B9BD5" w:themeFill="accent1"/>
          </w:tcPr>
          <w:p w:rsidR="00151CFC" w:rsidRDefault="00151CFC" w:rsidP="00A45552">
            <w:pPr>
              <w:jc w:val="center"/>
            </w:pPr>
          </w:p>
          <w:p w:rsidR="00151CFC" w:rsidRDefault="00151CFC" w:rsidP="00A45552">
            <w:pPr>
              <w:jc w:val="center"/>
            </w:pPr>
            <w:r>
              <w:t>No-Credit</w:t>
            </w:r>
          </w:p>
        </w:tc>
      </w:tr>
      <w:tr w:rsidR="00151CFC" w:rsidTr="00AF2D14">
        <w:tc>
          <w:tcPr>
            <w:tcW w:w="2515" w:type="dxa"/>
            <w:vMerge/>
            <w:shd w:val="clear" w:color="auto" w:fill="F4B083" w:themeFill="accent2" w:themeFillTint="99"/>
          </w:tcPr>
          <w:p w:rsidR="00151CFC" w:rsidRDefault="00151CFC" w:rsidP="005170CF"/>
        </w:tc>
        <w:tc>
          <w:tcPr>
            <w:tcW w:w="5130" w:type="dxa"/>
            <w:shd w:val="clear" w:color="auto" w:fill="BDD6EE" w:themeFill="accent1" w:themeFillTint="66"/>
          </w:tcPr>
          <w:p w:rsidR="00151CFC" w:rsidRDefault="00151CFC" w:rsidP="005170CF"/>
          <w:p w:rsidR="00151CFC" w:rsidRDefault="00151CFC" w:rsidP="005170CF">
            <w:r>
              <w:t>1. What is variation in a language?</w:t>
            </w:r>
          </w:p>
          <w:p w:rsidR="00151CFC" w:rsidRDefault="00151CFC" w:rsidP="005170CF"/>
        </w:tc>
        <w:tc>
          <w:tcPr>
            <w:tcW w:w="108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</w:tr>
      <w:tr w:rsidR="00151CFC" w:rsidTr="00AF2D14">
        <w:tc>
          <w:tcPr>
            <w:tcW w:w="2515" w:type="dxa"/>
            <w:vMerge/>
            <w:shd w:val="clear" w:color="auto" w:fill="F4B083" w:themeFill="accent2" w:themeFillTint="99"/>
          </w:tcPr>
          <w:p w:rsidR="00151CFC" w:rsidRDefault="00151CFC" w:rsidP="005170CF"/>
        </w:tc>
        <w:tc>
          <w:tcPr>
            <w:tcW w:w="5130" w:type="dxa"/>
            <w:shd w:val="clear" w:color="auto" w:fill="BDD6EE" w:themeFill="accent1" w:themeFillTint="66"/>
          </w:tcPr>
          <w:p w:rsidR="00151CFC" w:rsidRDefault="00151CFC" w:rsidP="005170CF"/>
          <w:p w:rsidR="00151CFC" w:rsidRDefault="00151CFC" w:rsidP="005170CF">
            <w:r>
              <w:t>2. How languages can change?</w:t>
            </w:r>
          </w:p>
          <w:p w:rsidR="00151CFC" w:rsidRDefault="00151CFC" w:rsidP="005170CF"/>
        </w:tc>
        <w:tc>
          <w:tcPr>
            <w:tcW w:w="108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</w:tr>
      <w:tr w:rsidR="00151CFC" w:rsidTr="00AF2D14">
        <w:tc>
          <w:tcPr>
            <w:tcW w:w="2515" w:type="dxa"/>
            <w:vMerge/>
            <w:shd w:val="clear" w:color="auto" w:fill="F4B083" w:themeFill="accent2" w:themeFillTint="99"/>
          </w:tcPr>
          <w:p w:rsidR="00151CFC" w:rsidRDefault="00151CFC" w:rsidP="005170CF"/>
        </w:tc>
        <w:tc>
          <w:tcPr>
            <w:tcW w:w="5130" w:type="dxa"/>
            <w:shd w:val="clear" w:color="auto" w:fill="BDD6EE" w:themeFill="accent1" w:themeFillTint="66"/>
          </w:tcPr>
          <w:p w:rsidR="00151CFC" w:rsidRDefault="00151CFC" w:rsidP="005170CF"/>
          <w:p w:rsidR="00151CFC" w:rsidRDefault="00151CFC" w:rsidP="005170CF">
            <w:r>
              <w:t>3. Identify one possible change in the phonetic system</w:t>
            </w:r>
          </w:p>
          <w:p w:rsidR="00151CFC" w:rsidRDefault="00151CFC" w:rsidP="005170CF"/>
        </w:tc>
        <w:tc>
          <w:tcPr>
            <w:tcW w:w="108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</w:tr>
      <w:tr w:rsidR="00151CFC" w:rsidTr="00AF2D14">
        <w:tc>
          <w:tcPr>
            <w:tcW w:w="2515" w:type="dxa"/>
            <w:vMerge/>
            <w:shd w:val="clear" w:color="auto" w:fill="F4B083" w:themeFill="accent2" w:themeFillTint="99"/>
          </w:tcPr>
          <w:p w:rsidR="00151CFC" w:rsidRDefault="00151CFC" w:rsidP="005170CF"/>
        </w:tc>
        <w:tc>
          <w:tcPr>
            <w:tcW w:w="5130" w:type="dxa"/>
            <w:shd w:val="clear" w:color="auto" w:fill="BDD6EE" w:themeFill="accent1" w:themeFillTint="66"/>
          </w:tcPr>
          <w:p w:rsidR="00151CFC" w:rsidRDefault="00151CFC" w:rsidP="005170CF"/>
          <w:p w:rsidR="00151CFC" w:rsidRDefault="00151CFC" w:rsidP="005170CF">
            <w:r>
              <w:t>4. Identify one possible change in the grammar structure</w:t>
            </w:r>
          </w:p>
          <w:p w:rsidR="00151CFC" w:rsidRDefault="00151CFC" w:rsidP="005170CF"/>
        </w:tc>
        <w:tc>
          <w:tcPr>
            <w:tcW w:w="108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</w:tr>
      <w:tr w:rsidR="00151CFC" w:rsidTr="00AF2D14">
        <w:tc>
          <w:tcPr>
            <w:tcW w:w="2515" w:type="dxa"/>
            <w:vMerge/>
            <w:shd w:val="clear" w:color="auto" w:fill="F4B083" w:themeFill="accent2" w:themeFillTint="99"/>
          </w:tcPr>
          <w:p w:rsidR="00151CFC" w:rsidRDefault="00151CFC" w:rsidP="005170CF"/>
        </w:tc>
        <w:tc>
          <w:tcPr>
            <w:tcW w:w="5130" w:type="dxa"/>
            <w:shd w:val="clear" w:color="auto" w:fill="BDD6EE" w:themeFill="accent1" w:themeFillTint="66"/>
          </w:tcPr>
          <w:p w:rsidR="00151CFC" w:rsidRDefault="00151CFC" w:rsidP="005170CF"/>
          <w:p w:rsidR="00151CFC" w:rsidRDefault="00151CFC" w:rsidP="005170CF">
            <w:r>
              <w:t>5. Identify one possible change in the lexicon</w:t>
            </w:r>
          </w:p>
          <w:p w:rsidR="00151CFC" w:rsidRDefault="00151CFC" w:rsidP="005170CF"/>
        </w:tc>
        <w:tc>
          <w:tcPr>
            <w:tcW w:w="108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151CFC" w:rsidRDefault="00151CFC" w:rsidP="00A45552">
            <w:pPr>
              <w:jc w:val="center"/>
            </w:pPr>
          </w:p>
        </w:tc>
      </w:tr>
    </w:tbl>
    <w:p w:rsidR="00153DE4" w:rsidRDefault="00153DE4" w:rsidP="00352F88">
      <w:pPr>
        <w:spacing w:after="0" w:line="240" w:lineRule="auto"/>
      </w:pPr>
    </w:p>
    <w:p w:rsidR="00A45552" w:rsidRPr="00C76D36" w:rsidRDefault="00A45552" w:rsidP="00A45552">
      <w:pPr>
        <w:spacing w:after="0" w:line="240" w:lineRule="auto"/>
        <w:rPr>
          <w:i/>
        </w:rPr>
      </w:pPr>
      <w:bookmarkStart w:id="0" w:name="_GoBack"/>
      <w:bookmarkEnd w:id="0"/>
      <w:r w:rsidRPr="00C76D36">
        <w:rPr>
          <w:i/>
        </w:rPr>
        <w:lastRenderedPageBreak/>
        <w:t>3. Summative Assessment</w:t>
      </w:r>
    </w:p>
    <w:p w:rsidR="00153DE4" w:rsidRDefault="00153DE4" w:rsidP="00153DE4">
      <w:pPr>
        <w:spacing w:after="0" w:line="240" w:lineRule="auto"/>
        <w:ind w:left="270" w:hanging="270"/>
      </w:pPr>
    </w:p>
    <w:p w:rsidR="00A45552" w:rsidRDefault="00352F88" w:rsidP="00DD2592">
      <w:pPr>
        <w:spacing w:after="0" w:line="240" w:lineRule="auto"/>
        <w:ind w:left="270"/>
      </w:pPr>
      <w:r>
        <w:t xml:space="preserve">After three formative assessments (Weeks #2, #3 and #4), a summative assessment </w:t>
      </w:r>
      <w:r w:rsidR="00DD2592">
        <w:t xml:space="preserve">quiz </w:t>
      </w:r>
      <w:r>
        <w:t xml:space="preserve">is </w:t>
      </w:r>
      <w:r w:rsidR="00A45552">
        <w:t>administe</w:t>
      </w:r>
      <w:r>
        <w:t>red at the end of M</w:t>
      </w:r>
      <w:r w:rsidR="00DD2592">
        <w:t>odule</w:t>
      </w:r>
      <w:r>
        <w:t xml:space="preserve"> #1</w:t>
      </w:r>
      <w:r w:rsidR="00DD2592">
        <w:t xml:space="preserve"> </w:t>
      </w:r>
      <w:r w:rsidR="00B25EEA">
        <w:t>(</w:t>
      </w:r>
      <w:r w:rsidR="00B25EEA" w:rsidRPr="00B25EEA">
        <w:rPr>
          <w:b/>
        </w:rPr>
        <w:t>Week #5</w:t>
      </w:r>
      <w:r w:rsidR="00B25EEA">
        <w:t>)</w:t>
      </w:r>
      <w:r>
        <w:t>,</w:t>
      </w:r>
      <w:r w:rsidR="00B25EEA">
        <w:t xml:space="preserve"> </w:t>
      </w:r>
      <w:r>
        <w:t>summarizing</w:t>
      </w:r>
      <w:r w:rsidR="00A45552">
        <w:t xml:space="preserve"> the takeaways from the module. </w:t>
      </w:r>
      <w:r w:rsidR="00DD2592">
        <w:t xml:space="preserve">I </w:t>
      </w:r>
      <w:r w:rsidR="00C76D36">
        <w:t>use the 10-question quiz m</w:t>
      </w:r>
      <w:r w:rsidR="00DD2592">
        <w:t>odel</w:t>
      </w:r>
      <w:r w:rsidR="00C76D36">
        <w:t>:</w:t>
      </w:r>
      <w:r w:rsidR="00A45552">
        <w:t xml:space="preserve">  </w:t>
      </w:r>
    </w:p>
    <w:p w:rsidR="00DD2592" w:rsidRDefault="00DD2592" w:rsidP="00DD2592">
      <w:pPr>
        <w:spacing w:after="0" w:line="240" w:lineRule="auto"/>
        <w:ind w:left="270"/>
      </w:pPr>
    </w:p>
    <w:p w:rsidR="00DD2592" w:rsidRDefault="00DD2592" w:rsidP="00DD2592">
      <w:pPr>
        <w:spacing w:after="0" w:line="240" w:lineRule="auto"/>
        <w:ind w:left="270"/>
      </w:pPr>
    </w:p>
    <w:p w:rsidR="00153DE4" w:rsidRPr="00C76D36" w:rsidRDefault="00153DE4" w:rsidP="00153DE4">
      <w:pPr>
        <w:spacing w:after="0" w:line="240" w:lineRule="auto"/>
        <w:ind w:left="270" w:hanging="270"/>
        <w:rPr>
          <w:sz w:val="24"/>
          <w:szCs w:val="24"/>
        </w:rPr>
      </w:pPr>
      <w:r>
        <w:tab/>
      </w:r>
      <w:r w:rsidRPr="00C76D36">
        <w:rPr>
          <w:b/>
          <w:sz w:val="24"/>
          <w:szCs w:val="24"/>
        </w:rPr>
        <w:t>Quiz</w:t>
      </w:r>
      <w:r w:rsidR="00352F88">
        <w:rPr>
          <w:b/>
          <w:sz w:val="24"/>
          <w:szCs w:val="24"/>
        </w:rPr>
        <w:t xml:space="preserve"> #4</w:t>
      </w:r>
      <w:r w:rsidRPr="00C76D36">
        <w:rPr>
          <w:sz w:val="24"/>
          <w:szCs w:val="24"/>
        </w:rPr>
        <w:t xml:space="preserve"> (</w:t>
      </w:r>
      <w:r w:rsidR="00B25EEA">
        <w:rPr>
          <w:sz w:val="24"/>
          <w:szCs w:val="24"/>
        </w:rPr>
        <w:t>week #5</w:t>
      </w:r>
      <w:r w:rsidR="0077278B" w:rsidRPr="00C76D36">
        <w:rPr>
          <w:sz w:val="24"/>
          <w:szCs w:val="24"/>
        </w:rPr>
        <w:t>)</w:t>
      </w:r>
    </w:p>
    <w:p w:rsidR="00153DE4" w:rsidRDefault="00153DE4" w:rsidP="00153DE4">
      <w:pPr>
        <w:spacing w:after="0" w:line="240" w:lineRule="auto"/>
        <w:ind w:left="270" w:hanging="270"/>
      </w:pPr>
    </w:p>
    <w:tbl>
      <w:tblPr>
        <w:tblStyle w:val="TableGrid"/>
        <w:tblW w:w="9445" w:type="dxa"/>
        <w:tblInd w:w="270" w:type="dxa"/>
        <w:tblLook w:val="04A0" w:firstRow="1" w:lastRow="0" w:firstColumn="1" w:lastColumn="0" w:noHBand="0" w:noVBand="1"/>
      </w:tblPr>
      <w:tblGrid>
        <w:gridCol w:w="2605"/>
        <w:gridCol w:w="4680"/>
        <w:gridCol w:w="720"/>
        <w:gridCol w:w="720"/>
        <w:gridCol w:w="720"/>
      </w:tblGrid>
      <w:tr w:rsidR="00D93CE5" w:rsidTr="00AF2D14">
        <w:tc>
          <w:tcPr>
            <w:tcW w:w="2605" w:type="dxa"/>
            <w:vMerge w:val="restart"/>
            <w:shd w:val="clear" w:color="auto" w:fill="F4B083" w:themeFill="accent2" w:themeFillTint="99"/>
          </w:tcPr>
          <w:p w:rsidR="00D93CE5" w:rsidRDefault="00D93CE5" w:rsidP="00153DE4">
            <w:pPr>
              <w:jc w:val="center"/>
            </w:pP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  <w:p w:rsidR="00D93CE5" w:rsidRDefault="00D93CE5" w:rsidP="005170CF">
            <w:pPr>
              <w:rPr>
                <w:sz w:val="20"/>
                <w:szCs w:val="20"/>
              </w:rPr>
            </w:pPr>
          </w:p>
          <w:p w:rsidR="00151CFC" w:rsidRDefault="00151CFC" w:rsidP="005170CF">
            <w:pPr>
              <w:rPr>
                <w:sz w:val="20"/>
                <w:szCs w:val="20"/>
              </w:rPr>
            </w:pPr>
          </w:p>
          <w:p w:rsidR="00151CFC" w:rsidRDefault="00151CFC" w:rsidP="005170CF">
            <w:pPr>
              <w:rPr>
                <w:sz w:val="20"/>
                <w:szCs w:val="20"/>
              </w:rPr>
            </w:pPr>
          </w:p>
          <w:p w:rsidR="00151CFC" w:rsidRDefault="00151CFC" w:rsidP="005170CF">
            <w:pPr>
              <w:rPr>
                <w:sz w:val="20"/>
                <w:szCs w:val="20"/>
              </w:rPr>
            </w:pPr>
          </w:p>
          <w:p w:rsidR="00151CFC" w:rsidRDefault="00151CFC" w:rsidP="005170CF">
            <w:pPr>
              <w:rPr>
                <w:sz w:val="20"/>
                <w:szCs w:val="20"/>
              </w:rPr>
            </w:pPr>
          </w:p>
          <w:p w:rsidR="00151CFC" w:rsidRDefault="00151CFC" w:rsidP="005170CF">
            <w:pPr>
              <w:rPr>
                <w:sz w:val="20"/>
                <w:szCs w:val="20"/>
              </w:rPr>
            </w:pPr>
          </w:p>
          <w:p w:rsidR="00151CFC" w:rsidRPr="001A0692" w:rsidRDefault="00151CFC" w:rsidP="005170CF">
            <w:pPr>
              <w:rPr>
                <w:sz w:val="20"/>
                <w:szCs w:val="20"/>
              </w:rPr>
            </w:pPr>
          </w:p>
          <w:p w:rsidR="00D93CE5" w:rsidRDefault="00151CFC" w:rsidP="005170CF">
            <w:r>
              <w:t>CO 2</w:t>
            </w:r>
            <w:r w:rsidR="00D93CE5">
              <w:t xml:space="preserve">: </w:t>
            </w:r>
          </w:p>
          <w:p w:rsidR="00D93CE5" w:rsidRDefault="00D93CE5" w:rsidP="005170CF"/>
          <w:p w:rsidR="00D93CE5" w:rsidRDefault="00151CFC" w:rsidP="005170CF">
            <w:r>
              <w:t>Spanish varieties and linguistic divides</w:t>
            </w:r>
            <w:r w:rsidR="0040438B">
              <w:t>: Patterns of dialect identification</w:t>
            </w:r>
          </w:p>
        </w:tc>
        <w:tc>
          <w:tcPr>
            <w:tcW w:w="4680" w:type="dxa"/>
            <w:shd w:val="clear" w:color="auto" w:fill="5B9BD5" w:themeFill="accent1"/>
          </w:tcPr>
          <w:p w:rsidR="00D93CE5" w:rsidRDefault="00D93CE5" w:rsidP="00153DE4">
            <w:pPr>
              <w:jc w:val="center"/>
            </w:pPr>
          </w:p>
          <w:p w:rsidR="00D93CE5" w:rsidRDefault="00AF2D14" w:rsidP="00153DE4">
            <w:pPr>
              <w:jc w:val="center"/>
            </w:pPr>
            <w:r>
              <w:t>Type of Question</w:t>
            </w:r>
          </w:p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5B9BD5" w:themeFill="accent1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A</w:t>
            </w:r>
          </w:p>
        </w:tc>
        <w:tc>
          <w:tcPr>
            <w:tcW w:w="720" w:type="dxa"/>
            <w:shd w:val="clear" w:color="auto" w:fill="5B9BD5" w:themeFill="accent1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B</w:t>
            </w:r>
          </w:p>
        </w:tc>
        <w:tc>
          <w:tcPr>
            <w:tcW w:w="720" w:type="dxa"/>
            <w:shd w:val="clear" w:color="auto" w:fill="5B9BD5" w:themeFill="accent1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C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77278B">
            <w:pPr>
              <w:rPr>
                <w:sz w:val="20"/>
                <w:szCs w:val="20"/>
              </w:rPr>
            </w:pPr>
          </w:p>
          <w:p w:rsidR="00D93CE5" w:rsidRDefault="00D93CE5" w:rsidP="0077278B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1. Identify Spanish-speaking countries on a world map</w:t>
            </w: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77278B">
            <w:pPr>
              <w:rPr>
                <w:sz w:val="20"/>
                <w:szCs w:val="20"/>
              </w:rPr>
            </w:pPr>
          </w:p>
          <w:p w:rsidR="00D93CE5" w:rsidRDefault="00D93CE5" w:rsidP="0077278B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2. Identify two countries in the lowlands</w:t>
            </w: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77278B">
            <w:pPr>
              <w:rPr>
                <w:sz w:val="20"/>
                <w:szCs w:val="20"/>
              </w:rPr>
            </w:pPr>
          </w:p>
          <w:p w:rsidR="00D93CE5" w:rsidRDefault="00D93CE5" w:rsidP="0077278B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3. Identify two countries in the highlands</w:t>
            </w: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77278B">
            <w:pPr>
              <w:rPr>
                <w:sz w:val="20"/>
                <w:szCs w:val="20"/>
              </w:rPr>
            </w:pPr>
          </w:p>
          <w:p w:rsidR="00D93CE5" w:rsidRDefault="00D93CE5" w:rsidP="0077278B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4. Describe one phonetic contrast between lowlands and highlands varieties</w:t>
            </w: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77278B">
            <w:pPr>
              <w:rPr>
                <w:sz w:val="20"/>
                <w:szCs w:val="20"/>
              </w:rPr>
            </w:pPr>
          </w:p>
          <w:p w:rsidR="00D93CE5" w:rsidRDefault="00D93CE5" w:rsidP="0077278B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5. Describe one lexical contrast between Spanish America and Spain</w:t>
            </w: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77278B">
            <w:pPr>
              <w:rPr>
                <w:sz w:val="20"/>
                <w:szCs w:val="20"/>
              </w:rPr>
            </w:pPr>
          </w:p>
          <w:p w:rsidR="00D93CE5" w:rsidRDefault="00D93CE5" w:rsidP="0077278B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6. Describe how the Castilian dialect became Spanish</w:t>
            </w:r>
          </w:p>
          <w:p w:rsidR="00D93CE5" w:rsidRPr="001A0692" w:rsidRDefault="00D93CE5" w:rsidP="007727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5170CF">
            <w:pPr>
              <w:rPr>
                <w:sz w:val="20"/>
                <w:szCs w:val="20"/>
              </w:rPr>
            </w:pPr>
          </w:p>
          <w:p w:rsidR="00D93CE5" w:rsidRDefault="00D93CE5" w:rsidP="005170CF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7. Describe how Spanish was spread into Hispanic America</w:t>
            </w:r>
          </w:p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5170CF">
            <w:pPr>
              <w:rPr>
                <w:sz w:val="20"/>
                <w:szCs w:val="20"/>
              </w:rPr>
            </w:pPr>
          </w:p>
          <w:p w:rsidR="00D93CE5" w:rsidRDefault="00D93CE5" w:rsidP="005170CF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8. Analyze differences found in two close varieties of Spanish</w:t>
            </w:r>
          </w:p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347A42"/>
          <w:p w:rsidR="00D93CE5" w:rsidRDefault="00D93CE5" w:rsidP="00153DE4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5170CF">
            <w:pPr>
              <w:rPr>
                <w:sz w:val="20"/>
                <w:szCs w:val="20"/>
              </w:rPr>
            </w:pPr>
          </w:p>
          <w:p w:rsidR="00D93CE5" w:rsidRDefault="00D93CE5" w:rsidP="005170CF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9. Analyze similarities found in two distant varieties of Spanish</w:t>
            </w:r>
          </w:p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</w:tr>
      <w:tr w:rsidR="00D93CE5" w:rsidTr="00AF2D14">
        <w:tc>
          <w:tcPr>
            <w:tcW w:w="2605" w:type="dxa"/>
            <w:vMerge/>
            <w:shd w:val="clear" w:color="auto" w:fill="F4B083" w:themeFill="accent2" w:themeFillTint="99"/>
          </w:tcPr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9CC2E5" w:themeFill="accent1" w:themeFillTint="99"/>
          </w:tcPr>
          <w:p w:rsidR="00D93CE5" w:rsidRDefault="00D93CE5" w:rsidP="005170CF">
            <w:pPr>
              <w:rPr>
                <w:sz w:val="20"/>
                <w:szCs w:val="20"/>
              </w:rPr>
            </w:pPr>
          </w:p>
          <w:p w:rsidR="00D93CE5" w:rsidRDefault="00D93CE5" w:rsidP="005170CF">
            <w:pPr>
              <w:rPr>
                <w:sz w:val="20"/>
                <w:szCs w:val="20"/>
              </w:rPr>
            </w:pPr>
            <w:r w:rsidRPr="001A0692">
              <w:rPr>
                <w:sz w:val="20"/>
                <w:szCs w:val="20"/>
              </w:rPr>
              <w:t>10. Apply one phonetic change to the distinction of three varieties of Spanish</w:t>
            </w:r>
          </w:p>
          <w:p w:rsidR="00D93CE5" w:rsidRPr="001A0692" w:rsidRDefault="00D93CE5" w:rsidP="005170C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</w:tc>
        <w:tc>
          <w:tcPr>
            <w:tcW w:w="720" w:type="dxa"/>
            <w:shd w:val="clear" w:color="auto" w:fill="9CC2E5" w:themeFill="accent1" w:themeFillTint="99"/>
          </w:tcPr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  <w:p w:rsidR="00D93CE5" w:rsidRDefault="00D93CE5" w:rsidP="00153DE4">
            <w:pPr>
              <w:jc w:val="center"/>
            </w:pPr>
          </w:p>
        </w:tc>
      </w:tr>
    </w:tbl>
    <w:p w:rsidR="005C2AB9" w:rsidRDefault="005C2AB9" w:rsidP="00DD2592">
      <w:pPr>
        <w:spacing w:after="0" w:line="240" w:lineRule="auto"/>
      </w:pPr>
    </w:p>
    <w:p w:rsidR="00DD2592" w:rsidRDefault="00DD2592" w:rsidP="00DD2592">
      <w:pPr>
        <w:spacing w:after="0" w:line="240" w:lineRule="auto"/>
      </w:pPr>
    </w:p>
    <w:p w:rsidR="00DD2592" w:rsidRDefault="00DD2592" w:rsidP="00DD2592">
      <w:pPr>
        <w:spacing w:after="0" w:line="240" w:lineRule="auto"/>
      </w:pPr>
    </w:p>
    <w:p w:rsidR="00DD2592" w:rsidRDefault="00DD2592" w:rsidP="00DD2592">
      <w:pPr>
        <w:spacing w:after="0" w:line="240" w:lineRule="auto"/>
      </w:pPr>
    </w:p>
    <w:p w:rsidR="00DD2592" w:rsidRPr="00A57B84" w:rsidRDefault="00DD2592" w:rsidP="00DD2592">
      <w:pPr>
        <w:spacing w:after="0" w:line="240" w:lineRule="auto"/>
      </w:pPr>
    </w:p>
    <w:p w:rsidR="00315716" w:rsidRDefault="00151CFC" w:rsidP="00151CFC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What makes a C?  </w:t>
      </w:r>
    </w:p>
    <w:p w:rsidR="00315716" w:rsidRDefault="00315716" w:rsidP="00315716">
      <w:pPr>
        <w:pStyle w:val="ListParagraph"/>
        <w:spacing w:after="0" w:line="240" w:lineRule="auto"/>
      </w:pPr>
    </w:p>
    <w:p w:rsidR="00315716" w:rsidRDefault="00151CFC" w:rsidP="00315716">
      <w:pPr>
        <w:pStyle w:val="ListParagraph"/>
        <w:spacing w:after="0" w:line="240" w:lineRule="auto"/>
      </w:pPr>
      <w:r>
        <w:t xml:space="preserve">Student </w:t>
      </w:r>
      <w:r w:rsidR="00315716">
        <w:t>must be able to answer correctly at least six out of the 1-7 questions; or five questions out of the 1-7 plus one question out of the 8-10; or four questions out of the 1-7 plus two questions out of the 8-10; or three questions out of the 1-7 plus the three questions out of 8-10</w:t>
      </w:r>
    </w:p>
    <w:p w:rsidR="00315716" w:rsidRDefault="00315716" w:rsidP="00315716">
      <w:pPr>
        <w:pStyle w:val="ListParagraph"/>
        <w:spacing w:after="0" w:line="240" w:lineRule="auto"/>
      </w:pPr>
    </w:p>
    <w:p w:rsidR="00315716" w:rsidRDefault="00315716" w:rsidP="00151CFC">
      <w:pPr>
        <w:pStyle w:val="ListParagraph"/>
        <w:numPr>
          <w:ilvl w:val="1"/>
          <w:numId w:val="2"/>
        </w:numPr>
        <w:spacing w:after="0" w:line="240" w:lineRule="auto"/>
      </w:pPr>
      <w:r>
        <w:t>What makes a B?</w:t>
      </w:r>
    </w:p>
    <w:p w:rsidR="00315716" w:rsidRDefault="00315716" w:rsidP="00315716">
      <w:pPr>
        <w:spacing w:after="0" w:line="240" w:lineRule="auto"/>
      </w:pPr>
    </w:p>
    <w:p w:rsidR="00315716" w:rsidRDefault="00315716" w:rsidP="00315716">
      <w:pPr>
        <w:spacing w:after="0" w:line="240" w:lineRule="auto"/>
        <w:ind w:left="720"/>
      </w:pPr>
      <w:r>
        <w:t>Student must be able to answer correctly at least six out of the 1-7 questions plus the two questions out of 8-10; or five questions out of the 1-7 questions plus the three 8-10 questions.</w:t>
      </w:r>
    </w:p>
    <w:p w:rsidR="00315716" w:rsidRDefault="00315716" w:rsidP="00315716">
      <w:pPr>
        <w:spacing w:after="0" w:line="240" w:lineRule="auto"/>
      </w:pPr>
    </w:p>
    <w:p w:rsidR="00A57B84" w:rsidRDefault="00AF2D14" w:rsidP="00315716">
      <w:pPr>
        <w:pStyle w:val="ListParagraph"/>
        <w:numPr>
          <w:ilvl w:val="0"/>
          <w:numId w:val="2"/>
        </w:numPr>
        <w:spacing w:after="0" w:line="240" w:lineRule="auto"/>
        <w:ind w:firstLine="0"/>
      </w:pPr>
      <w:r>
        <w:t>What makes an A?</w:t>
      </w:r>
    </w:p>
    <w:p w:rsidR="00AF2D14" w:rsidRDefault="00AF2D14" w:rsidP="00AF2D14">
      <w:pPr>
        <w:spacing w:after="0" w:line="240" w:lineRule="auto"/>
      </w:pPr>
    </w:p>
    <w:p w:rsidR="00AF2D14" w:rsidRPr="00A57B84" w:rsidRDefault="00AF2D14" w:rsidP="00AF2D14">
      <w:pPr>
        <w:spacing w:after="0" w:line="240" w:lineRule="auto"/>
        <w:ind w:left="720"/>
      </w:pPr>
      <w:r>
        <w:t xml:space="preserve">Student must be able to answer at least six out of the 1-7 questions plus the three questions out of the 8-10 questions. </w:t>
      </w:r>
    </w:p>
    <w:p w:rsidR="00A57B84" w:rsidRPr="00A57B84" w:rsidRDefault="00A57B84" w:rsidP="00222B04">
      <w:pPr>
        <w:spacing w:after="0" w:line="240" w:lineRule="auto"/>
      </w:pPr>
    </w:p>
    <w:p w:rsidR="00A57B84" w:rsidRDefault="00A57B84" w:rsidP="00222B04">
      <w:pPr>
        <w:spacing w:after="0" w:line="240" w:lineRule="auto"/>
      </w:pPr>
    </w:p>
    <w:p w:rsidR="005C2AB9" w:rsidRPr="00A57B84" w:rsidRDefault="005C2AB9" w:rsidP="00222B04">
      <w:pPr>
        <w:spacing w:after="0" w:line="240" w:lineRule="auto"/>
      </w:pPr>
    </w:p>
    <w:p w:rsidR="00222B04" w:rsidRPr="00F00AF1" w:rsidRDefault="00222B04" w:rsidP="00222B04">
      <w:pPr>
        <w:rPr>
          <w:sz w:val="24"/>
          <w:szCs w:val="24"/>
        </w:rPr>
      </w:pPr>
    </w:p>
    <w:sectPr w:rsidR="00222B04" w:rsidRPr="00F00AF1" w:rsidSect="005170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14" w:rsidRDefault="00311014" w:rsidP="00F17AB4">
      <w:pPr>
        <w:spacing w:after="0" w:line="240" w:lineRule="auto"/>
      </w:pPr>
      <w:r>
        <w:separator/>
      </w:r>
    </w:p>
  </w:endnote>
  <w:endnote w:type="continuationSeparator" w:id="0">
    <w:p w:rsidR="00311014" w:rsidRDefault="00311014" w:rsidP="00F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14" w:rsidRDefault="00311014" w:rsidP="00F17AB4">
      <w:pPr>
        <w:spacing w:after="0" w:line="240" w:lineRule="auto"/>
      </w:pPr>
      <w:r>
        <w:separator/>
      </w:r>
    </w:p>
  </w:footnote>
  <w:footnote w:type="continuationSeparator" w:id="0">
    <w:p w:rsidR="00311014" w:rsidRDefault="00311014" w:rsidP="00F1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EC5"/>
    <w:multiLevelType w:val="multilevel"/>
    <w:tmpl w:val="54A81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5B6C21"/>
    <w:multiLevelType w:val="multilevel"/>
    <w:tmpl w:val="CCE88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4A15DA"/>
    <w:multiLevelType w:val="multilevel"/>
    <w:tmpl w:val="CCE88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364D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AD1D09"/>
    <w:multiLevelType w:val="multilevel"/>
    <w:tmpl w:val="CCE88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B4"/>
    <w:rsid w:val="000622D7"/>
    <w:rsid w:val="000F33E5"/>
    <w:rsid w:val="000F3498"/>
    <w:rsid w:val="00151CFC"/>
    <w:rsid w:val="00153DE4"/>
    <w:rsid w:val="001A0692"/>
    <w:rsid w:val="00222B04"/>
    <w:rsid w:val="00237BB4"/>
    <w:rsid w:val="00311014"/>
    <w:rsid w:val="00313F84"/>
    <w:rsid w:val="00315716"/>
    <w:rsid w:val="00347A42"/>
    <w:rsid w:val="00352F88"/>
    <w:rsid w:val="00374630"/>
    <w:rsid w:val="0040438B"/>
    <w:rsid w:val="004F4121"/>
    <w:rsid w:val="005170CF"/>
    <w:rsid w:val="005A45F6"/>
    <w:rsid w:val="005C2AB9"/>
    <w:rsid w:val="005E1611"/>
    <w:rsid w:val="0077278B"/>
    <w:rsid w:val="00780B71"/>
    <w:rsid w:val="007C1FE6"/>
    <w:rsid w:val="007F2856"/>
    <w:rsid w:val="00970BF8"/>
    <w:rsid w:val="009B0F03"/>
    <w:rsid w:val="009C3CB6"/>
    <w:rsid w:val="00A45552"/>
    <w:rsid w:val="00A57B84"/>
    <w:rsid w:val="00AF2D14"/>
    <w:rsid w:val="00B25EEA"/>
    <w:rsid w:val="00B30571"/>
    <w:rsid w:val="00B70C7B"/>
    <w:rsid w:val="00B9120B"/>
    <w:rsid w:val="00C51D9A"/>
    <w:rsid w:val="00C70B9D"/>
    <w:rsid w:val="00C76D36"/>
    <w:rsid w:val="00D654B9"/>
    <w:rsid w:val="00D91797"/>
    <w:rsid w:val="00D93CE5"/>
    <w:rsid w:val="00DD2592"/>
    <w:rsid w:val="00F00AF1"/>
    <w:rsid w:val="00F05576"/>
    <w:rsid w:val="00F17AB4"/>
    <w:rsid w:val="00F20AAD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B210"/>
  <w15:chartTrackingRefBased/>
  <w15:docId w15:val="{E288C7F4-5D9D-415B-93D3-09DB6A0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B4"/>
  </w:style>
  <w:style w:type="paragraph" w:styleId="Footer">
    <w:name w:val="footer"/>
    <w:basedOn w:val="Normal"/>
    <w:link w:val="FooterChar"/>
    <w:uiPriority w:val="99"/>
    <w:unhideWhenUsed/>
    <w:rsid w:val="00F1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B4"/>
  </w:style>
  <w:style w:type="paragraph" w:styleId="ListParagraph">
    <w:name w:val="List Paragraph"/>
    <w:basedOn w:val="Normal"/>
    <w:uiPriority w:val="34"/>
    <w:qFormat/>
    <w:rsid w:val="00F17AB4"/>
    <w:pPr>
      <w:ind w:left="720"/>
      <w:contextualSpacing/>
    </w:pPr>
  </w:style>
  <w:style w:type="table" w:styleId="TableGrid">
    <w:name w:val="Table Grid"/>
    <w:basedOn w:val="TableNormal"/>
    <w:uiPriority w:val="39"/>
    <w:rsid w:val="00F0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0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BEFB-A489-4085-8BB7-D0B45504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Fernandez-Gibert</dc:creator>
  <cp:keywords/>
  <dc:description/>
  <cp:lastModifiedBy>Arturo Fernandez-Gibert</cp:lastModifiedBy>
  <cp:revision>2</cp:revision>
  <dcterms:created xsi:type="dcterms:W3CDTF">2021-02-21T00:40:00Z</dcterms:created>
  <dcterms:modified xsi:type="dcterms:W3CDTF">2021-02-21T00:40:00Z</dcterms:modified>
</cp:coreProperties>
</file>