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9" w:type="dxa"/>
        <w:tblLook w:val="04A0" w:firstRow="1" w:lastRow="0" w:firstColumn="1" w:lastColumn="0" w:noHBand="0" w:noVBand="1"/>
      </w:tblPr>
      <w:tblGrid>
        <w:gridCol w:w="3325"/>
        <w:gridCol w:w="900"/>
        <w:gridCol w:w="2340"/>
        <w:gridCol w:w="3314"/>
      </w:tblGrid>
      <w:tr w:rsidR="00E62EFD" w:rsidRPr="005E6989" w:rsidTr="006B10FA">
        <w:tc>
          <w:tcPr>
            <w:tcW w:w="3325" w:type="dxa"/>
          </w:tcPr>
          <w:p w:rsidR="00E62EFD" w:rsidRPr="00ED5B4E" w:rsidRDefault="00E62EFD" w:rsidP="00E62EFD">
            <w:pPr>
              <w:rPr>
                <w:rFonts w:cstheme="minorHAnsi"/>
                <w:b/>
                <w:sz w:val="18"/>
                <w:szCs w:val="18"/>
              </w:rPr>
            </w:pPr>
          </w:p>
        </w:tc>
        <w:tc>
          <w:tcPr>
            <w:tcW w:w="900" w:type="dxa"/>
          </w:tcPr>
          <w:p w:rsidR="00E62EFD" w:rsidRPr="00ED5B4E" w:rsidRDefault="00C3597A" w:rsidP="00E62EFD">
            <w:pPr>
              <w:rPr>
                <w:rFonts w:cstheme="minorHAnsi"/>
                <w:b/>
                <w:sz w:val="18"/>
                <w:szCs w:val="18"/>
              </w:rPr>
            </w:pPr>
            <w:r w:rsidRPr="00ED5B4E">
              <w:rPr>
                <w:rFonts w:cstheme="minorHAnsi"/>
                <w:b/>
                <w:sz w:val="18"/>
                <w:szCs w:val="18"/>
              </w:rPr>
              <w:t>Excellent</w:t>
            </w:r>
          </w:p>
        </w:tc>
        <w:tc>
          <w:tcPr>
            <w:tcW w:w="2340" w:type="dxa"/>
          </w:tcPr>
          <w:p w:rsidR="00E62EFD" w:rsidRPr="00ED5B4E" w:rsidRDefault="00C3597A" w:rsidP="00C3597A">
            <w:pPr>
              <w:rPr>
                <w:rFonts w:cstheme="minorHAnsi"/>
                <w:b/>
                <w:sz w:val="18"/>
                <w:szCs w:val="18"/>
              </w:rPr>
            </w:pPr>
            <w:r w:rsidRPr="00ED5B4E">
              <w:rPr>
                <w:rFonts w:cstheme="minorHAnsi"/>
                <w:b/>
                <w:sz w:val="18"/>
                <w:szCs w:val="18"/>
              </w:rPr>
              <w:t>Good</w:t>
            </w:r>
          </w:p>
        </w:tc>
        <w:tc>
          <w:tcPr>
            <w:tcW w:w="3314" w:type="dxa"/>
          </w:tcPr>
          <w:p w:rsidR="00E62EFD" w:rsidRPr="006B10FA" w:rsidRDefault="00E62EFD" w:rsidP="00E62EFD">
            <w:pPr>
              <w:rPr>
                <w:rFonts w:cstheme="minorHAnsi"/>
                <w:sz w:val="18"/>
                <w:szCs w:val="18"/>
              </w:rPr>
            </w:pPr>
            <w:r w:rsidRPr="00ED5B4E">
              <w:rPr>
                <w:rFonts w:cstheme="minorHAnsi"/>
                <w:b/>
                <w:sz w:val="18"/>
                <w:szCs w:val="18"/>
              </w:rPr>
              <w:t>Needs Improvement</w:t>
            </w:r>
            <w:r w:rsidR="006B10FA">
              <w:rPr>
                <w:rFonts w:cstheme="minorHAnsi"/>
                <w:sz w:val="18"/>
                <w:szCs w:val="18"/>
              </w:rPr>
              <w:t xml:space="preserve"> (comments)</w:t>
            </w:r>
          </w:p>
        </w:tc>
      </w:tr>
      <w:tr w:rsidR="006B10FA" w:rsidRPr="005E6989" w:rsidTr="006B10FA">
        <w:trPr>
          <w:trHeight w:val="1196"/>
        </w:trPr>
        <w:tc>
          <w:tcPr>
            <w:tcW w:w="3325" w:type="dxa"/>
          </w:tcPr>
          <w:p w:rsidR="006B10FA" w:rsidRPr="00ED5B4E" w:rsidRDefault="006B10FA" w:rsidP="00E62EFD">
            <w:pPr>
              <w:rPr>
                <w:rFonts w:cstheme="minorHAnsi"/>
                <w:b/>
                <w:sz w:val="18"/>
                <w:szCs w:val="18"/>
              </w:rPr>
            </w:pPr>
            <w:r w:rsidRPr="00ED5B4E">
              <w:rPr>
                <w:rFonts w:cstheme="minorHAnsi"/>
                <w:b/>
                <w:sz w:val="18"/>
                <w:szCs w:val="18"/>
              </w:rPr>
              <w:t>Reading Summar</w:t>
            </w:r>
            <w:r>
              <w:rPr>
                <w:rFonts w:cstheme="minorHAnsi"/>
                <w:b/>
                <w:sz w:val="18"/>
                <w:szCs w:val="18"/>
              </w:rPr>
              <w:t>ies</w:t>
            </w:r>
          </w:p>
          <w:p w:rsidR="006B10FA" w:rsidRPr="00ED5B4E" w:rsidRDefault="006B10FA" w:rsidP="00E62EFD">
            <w:pPr>
              <w:rPr>
                <w:rFonts w:cstheme="minorHAnsi"/>
                <w:b/>
                <w:sz w:val="18"/>
                <w:szCs w:val="18"/>
              </w:rPr>
            </w:pPr>
            <w:r w:rsidRPr="00E62EFD">
              <w:rPr>
                <w:i/>
                <w:sz w:val="16"/>
              </w:rPr>
              <w:t>Well summarized, accounting for the full spectrum of the author</w:t>
            </w:r>
            <w:r>
              <w:rPr>
                <w:i/>
                <w:sz w:val="16"/>
              </w:rPr>
              <w:t>’s</w:t>
            </w:r>
            <w:r w:rsidRPr="00E62EFD">
              <w:rPr>
                <w:i/>
                <w:sz w:val="16"/>
              </w:rPr>
              <w:t xml:space="preserve"> subject matter</w:t>
            </w:r>
            <w:r>
              <w:rPr>
                <w:i/>
                <w:sz w:val="16"/>
              </w:rPr>
              <w:t>, thesis,</w:t>
            </w:r>
            <w:r w:rsidRPr="00E62EFD">
              <w:rPr>
                <w:i/>
                <w:sz w:val="16"/>
              </w:rPr>
              <w:t xml:space="preserve"> and arguments</w:t>
            </w:r>
            <w:r>
              <w:rPr>
                <w:i/>
                <w:sz w:val="16"/>
              </w:rPr>
              <w:t>.</w:t>
            </w:r>
          </w:p>
        </w:tc>
        <w:tc>
          <w:tcPr>
            <w:tcW w:w="900" w:type="dxa"/>
          </w:tcPr>
          <w:p w:rsidR="006B10FA" w:rsidRPr="00ED5B4E" w:rsidRDefault="006B10FA" w:rsidP="00E62EFD">
            <w:pPr>
              <w:rPr>
                <w:rFonts w:cstheme="minorHAnsi"/>
                <w:sz w:val="18"/>
                <w:szCs w:val="18"/>
              </w:rPr>
            </w:pPr>
          </w:p>
        </w:tc>
        <w:tc>
          <w:tcPr>
            <w:tcW w:w="2340" w:type="dxa"/>
          </w:tcPr>
          <w:p w:rsidR="006B10FA" w:rsidRPr="00ED5B4E" w:rsidRDefault="006B10FA" w:rsidP="007B2C02">
            <w:pPr>
              <w:rPr>
                <w:rFonts w:cstheme="minorHAnsi"/>
                <w:sz w:val="18"/>
                <w:szCs w:val="18"/>
              </w:rPr>
            </w:pPr>
          </w:p>
        </w:tc>
        <w:tc>
          <w:tcPr>
            <w:tcW w:w="3314" w:type="dxa"/>
          </w:tcPr>
          <w:p w:rsidR="006B10FA" w:rsidRDefault="006B10FA" w:rsidP="007B2C02">
            <w:pPr>
              <w:rPr>
                <w:rFonts w:cstheme="minorHAnsi"/>
                <w:sz w:val="18"/>
                <w:szCs w:val="18"/>
              </w:rPr>
            </w:pPr>
          </w:p>
          <w:p w:rsidR="006B10FA" w:rsidRDefault="006B10FA" w:rsidP="007B2C02">
            <w:pPr>
              <w:rPr>
                <w:rFonts w:cstheme="minorHAnsi"/>
                <w:sz w:val="18"/>
                <w:szCs w:val="18"/>
              </w:rPr>
            </w:pPr>
          </w:p>
          <w:p w:rsidR="006B10FA" w:rsidRDefault="006B10FA" w:rsidP="007B2C02">
            <w:pPr>
              <w:rPr>
                <w:rFonts w:cstheme="minorHAnsi"/>
                <w:sz w:val="18"/>
                <w:szCs w:val="18"/>
              </w:rPr>
            </w:pPr>
          </w:p>
          <w:p w:rsidR="006B10FA" w:rsidRDefault="006B10FA" w:rsidP="007B2C02">
            <w:pPr>
              <w:rPr>
                <w:rFonts w:cstheme="minorHAnsi"/>
                <w:sz w:val="18"/>
                <w:szCs w:val="18"/>
              </w:rPr>
            </w:pPr>
          </w:p>
          <w:p w:rsidR="006B10FA" w:rsidRDefault="006B10FA" w:rsidP="007B2C02">
            <w:pPr>
              <w:rPr>
                <w:rFonts w:cstheme="minorHAnsi"/>
                <w:sz w:val="18"/>
                <w:szCs w:val="18"/>
              </w:rPr>
            </w:pPr>
          </w:p>
          <w:p w:rsidR="006B10FA" w:rsidRPr="00ED5B4E" w:rsidRDefault="006B10FA" w:rsidP="007B2C02">
            <w:pPr>
              <w:rPr>
                <w:rFonts w:cstheme="minorHAnsi"/>
                <w:sz w:val="18"/>
                <w:szCs w:val="18"/>
              </w:rPr>
            </w:pPr>
          </w:p>
        </w:tc>
      </w:tr>
      <w:tr w:rsidR="00C3597A" w:rsidRPr="005E6989" w:rsidTr="006B10FA">
        <w:tc>
          <w:tcPr>
            <w:tcW w:w="3325" w:type="dxa"/>
          </w:tcPr>
          <w:p w:rsidR="00C3597A" w:rsidRDefault="00C3597A" w:rsidP="00ED5B4E">
            <w:pPr>
              <w:rPr>
                <w:rFonts w:cstheme="minorHAnsi"/>
                <w:b/>
                <w:sz w:val="18"/>
                <w:szCs w:val="18"/>
              </w:rPr>
            </w:pPr>
            <w:r w:rsidRPr="00ED5B4E">
              <w:rPr>
                <w:rFonts w:cstheme="minorHAnsi"/>
                <w:b/>
                <w:sz w:val="18"/>
                <w:szCs w:val="18"/>
              </w:rPr>
              <w:t xml:space="preserve">Show and Tell </w:t>
            </w:r>
          </w:p>
          <w:p w:rsidR="006B10FA" w:rsidRPr="006B10FA" w:rsidRDefault="006B10FA" w:rsidP="00ED5B4E">
            <w:pPr>
              <w:rPr>
                <w:rFonts w:cstheme="minorHAnsi"/>
                <w:b/>
                <w:i/>
                <w:sz w:val="18"/>
                <w:szCs w:val="18"/>
              </w:rPr>
            </w:pPr>
            <w:r w:rsidRPr="006B10FA">
              <w:rPr>
                <w:rFonts w:cstheme="minorHAnsi"/>
                <w:i/>
                <w:sz w:val="16"/>
                <w:szCs w:val="18"/>
              </w:rPr>
              <w:t>Balance of “show” (providing detailed examples) and “tell” (explaining the examples’ relevance), with examples well selected to support the student’s central theme.</w:t>
            </w:r>
          </w:p>
        </w:tc>
        <w:tc>
          <w:tcPr>
            <w:tcW w:w="900" w:type="dxa"/>
            <w:shd w:val="clear" w:color="auto" w:fill="FFFFFF" w:themeFill="background1"/>
          </w:tcPr>
          <w:p w:rsidR="00C3597A" w:rsidRPr="00ED5B4E" w:rsidRDefault="00C3597A" w:rsidP="00F320DE">
            <w:pPr>
              <w:rPr>
                <w:rFonts w:cstheme="minorHAnsi"/>
                <w:sz w:val="18"/>
                <w:szCs w:val="18"/>
              </w:rPr>
            </w:pPr>
          </w:p>
        </w:tc>
        <w:tc>
          <w:tcPr>
            <w:tcW w:w="2340" w:type="dxa"/>
          </w:tcPr>
          <w:p w:rsidR="00C3597A" w:rsidRPr="00ED5B4E" w:rsidRDefault="00C3597A" w:rsidP="00F320DE">
            <w:pPr>
              <w:rPr>
                <w:rFonts w:cstheme="minorHAnsi"/>
                <w:sz w:val="18"/>
                <w:szCs w:val="18"/>
              </w:rPr>
            </w:pPr>
          </w:p>
        </w:tc>
        <w:tc>
          <w:tcPr>
            <w:tcW w:w="3314" w:type="dxa"/>
          </w:tcPr>
          <w:p w:rsidR="00C3597A" w:rsidRDefault="00C3597A" w:rsidP="00C3597A">
            <w:pPr>
              <w:rPr>
                <w:rFonts w:cstheme="minorHAnsi"/>
                <w:sz w:val="18"/>
                <w:szCs w:val="18"/>
              </w:rPr>
            </w:pPr>
          </w:p>
          <w:p w:rsidR="006B10FA" w:rsidRDefault="006B10FA" w:rsidP="00C3597A">
            <w:pPr>
              <w:rPr>
                <w:rFonts w:cstheme="minorHAnsi"/>
                <w:sz w:val="18"/>
                <w:szCs w:val="18"/>
              </w:rPr>
            </w:pPr>
          </w:p>
          <w:p w:rsidR="006B10FA" w:rsidRDefault="006B10FA" w:rsidP="00C3597A">
            <w:pPr>
              <w:rPr>
                <w:rFonts w:cstheme="minorHAnsi"/>
                <w:sz w:val="18"/>
                <w:szCs w:val="18"/>
              </w:rPr>
            </w:pPr>
          </w:p>
          <w:p w:rsidR="006B10FA" w:rsidRDefault="006B10FA" w:rsidP="00C3597A">
            <w:pPr>
              <w:rPr>
                <w:rFonts w:cstheme="minorHAnsi"/>
                <w:sz w:val="18"/>
                <w:szCs w:val="18"/>
              </w:rPr>
            </w:pPr>
          </w:p>
          <w:p w:rsidR="006B10FA" w:rsidRDefault="006B10FA" w:rsidP="00C3597A">
            <w:pPr>
              <w:rPr>
                <w:rFonts w:cstheme="minorHAnsi"/>
                <w:sz w:val="18"/>
                <w:szCs w:val="18"/>
              </w:rPr>
            </w:pPr>
          </w:p>
          <w:p w:rsidR="006B10FA" w:rsidRDefault="006B10FA" w:rsidP="00C3597A">
            <w:pPr>
              <w:rPr>
                <w:rFonts w:cstheme="minorHAnsi"/>
                <w:sz w:val="18"/>
                <w:szCs w:val="18"/>
              </w:rPr>
            </w:pPr>
          </w:p>
          <w:p w:rsidR="006B10FA" w:rsidRPr="00ED5B4E" w:rsidRDefault="006B10FA" w:rsidP="00C3597A">
            <w:pPr>
              <w:rPr>
                <w:rFonts w:cstheme="minorHAnsi"/>
                <w:sz w:val="18"/>
                <w:szCs w:val="18"/>
              </w:rPr>
            </w:pPr>
          </w:p>
        </w:tc>
      </w:tr>
      <w:tr w:rsidR="00C3597A" w:rsidRPr="005E6989" w:rsidTr="006B10FA">
        <w:tc>
          <w:tcPr>
            <w:tcW w:w="3325" w:type="dxa"/>
          </w:tcPr>
          <w:p w:rsidR="00C3597A" w:rsidRDefault="00F320DE" w:rsidP="00E62EFD">
            <w:pPr>
              <w:rPr>
                <w:rFonts w:cstheme="minorHAnsi"/>
                <w:b/>
                <w:sz w:val="18"/>
                <w:szCs w:val="18"/>
              </w:rPr>
            </w:pPr>
            <w:r w:rsidRPr="00ED5B4E">
              <w:rPr>
                <w:rFonts w:cstheme="minorHAnsi"/>
                <w:b/>
                <w:sz w:val="18"/>
                <w:szCs w:val="18"/>
              </w:rPr>
              <w:t>Central Theme</w:t>
            </w:r>
          </w:p>
          <w:p w:rsidR="006B10FA" w:rsidRPr="006B10FA" w:rsidRDefault="006B10FA" w:rsidP="00E62EFD">
            <w:pPr>
              <w:rPr>
                <w:rFonts w:cstheme="minorHAnsi"/>
                <w:b/>
                <w:i/>
                <w:sz w:val="18"/>
                <w:szCs w:val="18"/>
              </w:rPr>
            </w:pPr>
            <w:r w:rsidRPr="006B10FA">
              <w:rPr>
                <w:rFonts w:cstheme="minorHAnsi"/>
                <w:i/>
                <w:sz w:val="16"/>
                <w:szCs w:val="18"/>
              </w:rPr>
              <w:t>Readings are analyzed to identify significant and interesting patterns and meanings, or put into dialogue to reveal non-obvious relationships or other points of convergence and divergence between the authors’ arguments and analyses, via comparison along some relevant dimension. The essay is organized to support the central theme.</w:t>
            </w:r>
          </w:p>
        </w:tc>
        <w:tc>
          <w:tcPr>
            <w:tcW w:w="900" w:type="dxa"/>
          </w:tcPr>
          <w:p w:rsidR="00C3597A" w:rsidRPr="00ED5B4E" w:rsidRDefault="00C3597A" w:rsidP="000554CD">
            <w:pPr>
              <w:rPr>
                <w:rFonts w:cstheme="minorHAnsi"/>
                <w:sz w:val="18"/>
                <w:szCs w:val="18"/>
              </w:rPr>
            </w:pPr>
          </w:p>
        </w:tc>
        <w:tc>
          <w:tcPr>
            <w:tcW w:w="2340" w:type="dxa"/>
          </w:tcPr>
          <w:p w:rsidR="00C3597A" w:rsidRPr="00ED5B4E" w:rsidRDefault="00C3597A" w:rsidP="00ED5B4E">
            <w:pPr>
              <w:rPr>
                <w:rFonts w:cstheme="minorHAnsi"/>
                <w:sz w:val="18"/>
                <w:szCs w:val="18"/>
              </w:rPr>
            </w:pPr>
          </w:p>
        </w:tc>
        <w:tc>
          <w:tcPr>
            <w:tcW w:w="3314" w:type="dxa"/>
          </w:tcPr>
          <w:p w:rsidR="00C3597A" w:rsidRPr="00ED5B4E" w:rsidRDefault="00C3597A" w:rsidP="00F320DE">
            <w:pPr>
              <w:rPr>
                <w:rFonts w:cstheme="minorHAnsi"/>
                <w:sz w:val="18"/>
                <w:szCs w:val="18"/>
              </w:rPr>
            </w:pPr>
          </w:p>
        </w:tc>
      </w:tr>
      <w:tr w:rsidR="00C3597A" w:rsidRPr="005E6989" w:rsidTr="006B10FA">
        <w:tc>
          <w:tcPr>
            <w:tcW w:w="3325" w:type="dxa"/>
          </w:tcPr>
          <w:p w:rsidR="00C3597A" w:rsidRDefault="00ED5B4E" w:rsidP="00F320DE">
            <w:pPr>
              <w:rPr>
                <w:rFonts w:cstheme="minorHAnsi"/>
                <w:b/>
                <w:sz w:val="18"/>
                <w:szCs w:val="18"/>
              </w:rPr>
            </w:pPr>
            <w:r w:rsidRPr="00ED5B4E">
              <w:rPr>
                <w:rFonts w:cstheme="minorHAnsi"/>
                <w:b/>
                <w:sz w:val="18"/>
                <w:szCs w:val="18"/>
              </w:rPr>
              <w:t>C</w:t>
            </w:r>
            <w:r w:rsidR="00F320DE" w:rsidRPr="00ED5B4E">
              <w:rPr>
                <w:rFonts w:cstheme="minorHAnsi"/>
                <w:b/>
                <w:sz w:val="18"/>
                <w:szCs w:val="18"/>
              </w:rPr>
              <w:t>ourse content knowledge</w:t>
            </w:r>
          </w:p>
          <w:p w:rsidR="006B10FA" w:rsidRPr="006B10FA" w:rsidRDefault="006B10FA" w:rsidP="00F320DE">
            <w:pPr>
              <w:rPr>
                <w:rFonts w:cstheme="minorHAnsi"/>
                <w:b/>
                <w:i/>
                <w:sz w:val="18"/>
                <w:szCs w:val="18"/>
              </w:rPr>
            </w:pPr>
            <w:r w:rsidRPr="006B10FA">
              <w:rPr>
                <w:rFonts w:cstheme="minorHAnsi"/>
                <w:i/>
                <w:sz w:val="16"/>
                <w:szCs w:val="18"/>
              </w:rPr>
              <w:t xml:space="preserve">Student creates opportunities to demonstrate understanding of topics covered in this class, the significance and complexity of the issues being engaged, and their relevance for medical anthropology. </w:t>
            </w:r>
            <w:r w:rsidRPr="006B10FA">
              <w:rPr>
                <w:rFonts w:eastAsia="Times New Roman" w:cstheme="minorHAnsi"/>
                <w:i/>
                <w:color w:val="000000"/>
                <w:sz w:val="16"/>
                <w:szCs w:val="18"/>
              </w:rPr>
              <w:t>Specialized terminology is explained upon introduction.</w:t>
            </w:r>
          </w:p>
        </w:tc>
        <w:tc>
          <w:tcPr>
            <w:tcW w:w="900" w:type="dxa"/>
          </w:tcPr>
          <w:p w:rsidR="00ED5B4E" w:rsidRPr="00ED5B4E" w:rsidRDefault="00ED5B4E" w:rsidP="00ED5B4E">
            <w:pPr>
              <w:rPr>
                <w:rFonts w:cstheme="minorHAnsi"/>
                <w:sz w:val="18"/>
                <w:szCs w:val="18"/>
              </w:rPr>
            </w:pPr>
          </w:p>
        </w:tc>
        <w:tc>
          <w:tcPr>
            <w:tcW w:w="2340" w:type="dxa"/>
          </w:tcPr>
          <w:p w:rsidR="00C3597A" w:rsidRPr="00ED5B4E" w:rsidRDefault="00C3597A" w:rsidP="00ED5B4E">
            <w:pPr>
              <w:rPr>
                <w:rFonts w:cstheme="minorHAnsi"/>
                <w:sz w:val="18"/>
                <w:szCs w:val="18"/>
              </w:rPr>
            </w:pPr>
          </w:p>
        </w:tc>
        <w:tc>
          <w:tcPr>
            <w:tcW w:w="3314" w:type="dxa"/>
          </w:tcPr>
          <w:p w:rsidR="00C3597A" w:rsidRDefault="00C3597A" w:rsidP="00ED5B4E">
            <w:pPr>
              <w:rPr>
                <w:rFonts w:cstheme="minorHAnsi"/>
                <w:sz w:val="18"/>
                <w:szCs w:val="18"/>
              </w:rPr>
            </w:pPr>
          </w:p>
          <w:p w:rsidR="006B10FA" w:rsidRDefault="006B10FA" w:rsidP="00ED5B4E">
            <w:pPr>
              <w:rPr>
                <w:rFonts w:cstheme="minorHAnsi"/>
                <w:sz w:val="18"/>
                <w:szCs w:val="18"/>
              </w:rPr>
            </w:pPr>
          </w:p>
          <w:p w:rsidR="006B10FA" w:rsidRDefault="006B10FA" w:rsidP="00ED5B4E">
            <w:pPr>
              <w:rPr>
                <w:rFonts w:cstheme="minorHAnsi"/>
                <w:sz w:val="18"/>
                <w:szCs w:val="18"/>
              </w:rPr>
            </w:pPr>
          </w:p>
          <w:p w:rsidR="006B10FA" w:rsidRDefault="006B10FA" w:rsidP="00ED5B4E">
            <w:pPr>
              <w:rPr>
                <w:rFonts w:cstheme="minorHAnsi"/>
                <w:sz w:val="18"/>
                <w:szCs w:val="18"/>
              </w:rPr>
            </w:pPr>
          </w:p>
          <w:p w:rsidR="006B10FA" w:rsidRDefault="006B10FA" w:rsidP="00ED5B4E">
            <w:pPr>
              <w:rPr>
                <w:rFonts w:cstheme="minorHAnsi"/>
                <w:sz w:val="18"/>
                <w:szCs w:val="18"/>
              </w:rPr>
            </w:pPr>
          </w:p>
          <w:p w:rsidR="006B10FA" w:rsidRDefault="006B10FA" w:rsidP="00ED5B4E">
            <w:pPr>
              <w:rPr>
                <w:rFonts w:cstheme="minorHAnsi"/>
                <w:sz w:val="18"/>
                <w:szCs w:val="18"/>
              </w:rPr>
            </w:pPr>
          </w:p>
          <w:p w:rsidR="006B10FA" w:rsidRPr="00ED5B4E" w:rsidRDefault="006B10FA" w:rsidP="00ED5B4E">
            <w:pPr>
              <w:rPr>
                <w:rFonts w:cstheme="minorHAnsi"/>
                <w:sz w:val="18"/>
                <w:szCs w:val="18"/>
              </w:rPr>
            </w:pPr>
          </w:p>
        </w:tc>
      </w:tr>
      <w:tr w:rsidR="00C3597A" w:rsidRPr="005E6989" w:rsidTr="006B10FA">
        <w:tc>
          <w:tcPr>
            <w:tcW w:w="3325" w:type="dxa"/>
          </w:tcPr>
          <w:p w:rsidR="00C3597A" w:rsidRDefault="00F320DE" w:rsidP="00E62EFD">
            <w:pPr>
              <w:rPr>
                <w:rFonts w:cstheme="minorHAnsi"/>
                <w:b/>
                <w:sz w:val="18"/>
                <w:szCs w:val="18"/>
              </w:rPr>
            </w:pPr>
            <w:r w:rsidRPr="00ED5B4E">
              <w:rPr>
                <w:rFonts w:cstheme="minorHAnsi"/>
                <w:b/>
                <w:sz w:val="18"/>
                <w:szCs w:val="18"/>
              </w:rPr>
              <w:t>Uses an a</w:t>
            </w:r>
            <w:r w:rsidR="00C3597A" w:rsidRPr="00ED5B4E">
              <w:rPr>
                <w:rFonts w:cstheme="minorHAnsi"/>
                <w:b/>
                <w:sz w:val="18"/>
                <w:szCs w:val="18"/>
              </w:rPr>
              <w:t>nthropological lens</w:t>
            </w:r>
            <w:r w:rsidR="00ED5B4E" w:rsidRPr="00ED5B4E">
              <w:rPr>
                <w:rFonts w:cstheme="minorHAnsi"/>
                <w:b/>
                <w:sz w:val="18"/>
                <w:szCs w:val="18"/>
              </w:rPr>
              <w:t>*</w:t>
            </w:r>
          </w:p>
          <w:p w:rsidR="006B10FA" w:rsidRPr="006B10FA" w:rsidRDefault="006B10FA" w:rsidP="006B10FA">
            <w:pPr>
              <w:rPr>
                <w:rFonts w:cstheme="minorHAnsi"/>
                <w:i/>
                <w:sz w:val="16"/>
                <w:szCs w:val="18"/>
              </w:rPr>
            </w:pPr>
            <w:r w:rsidRPr="006B10FA">
              <w:rPr>
                <w:rFonts w:cstheme="minorHAnsi"/>
                <w:i/>
                <w:sz w:val="16"/>
                <w:szCs w:val="18"/>
              </w:rPr>
              <w:t>An “anthropological lens” is reflected in the writing conventions used. The writing is done from an anthropological perspective.</w:t>
            </w:r>
          </w:p>
          <w:p w:rsidR="006B10FA" w:rsidRPr="00ED5B4E" w:rsidRDefault="006B10FA" w:rsidP="00E62EFD">
            <w:pPr>
              <w:rPr>
                <w:rFonts w:cstheme="minorHAnsi"/>
                <w:b/>
                <w:sz w:val="18"/>
                <w:szCs w:val="18"/>
              </w:rPr>
            </w:pPr>
          </w:p>
        </w:tc>
        <w:tc>
          <w:tcPr>
            <w:tcW w:w="900" w:type="dxa"/>
          </w:tcPr>
          <w:p w:rsidR="00ED5B4E" w:rsidRPr="00ED5B4E" w:rsidRDefault="00ED5B4E" w:rsidP="006B10FA">
            <w:pPr>
              <w:rPr>
                <w:rFonts w:cstheme="minorHAnsi"/>
                <w:sz w:val="18"/>
                <w:szCs w:val="18"/>
              </w:rPr>
            </w:pPr>
          </w:p>
        </w:tc>
        <w:tc>
          <w:tcPr>
            <w:tcW w:w="2340" w:type="dxa"/>
          </w:tcPr>
          <w:p w:rsidR="00C3597A" w:rsidRPr="00ED5B4E" w:rsidRDefault="00C3597A" w:rsidP="00E62EFD">
            <w:pPr>
              <w:rPr>
                <w:rFonts w:cstheme="minorHAnsi"/>
                <w:sz w:val="18"/>
                <w:szCs w:val="18"/>
              </w:rPr>
            </w:pPr>
          </w:p>
        </w:tc>
        <w:tc>
          <w:tcPr>
            <w:tcW w:w="3314" w:type="dxa"/>
          </w:tcPr>
          <w:p w:rsidR="00C3597A" w:rsidRDefault="00C3597A" w:rsidP="006B10FA">
            <w:pPr>
              <w:rPr>
                <w:rFonts w:cstheme="minorHAnsi"/>
                <w:sz w:val="18"/>
                <w:szCs w:val="18"/>
              </w:rPr>
            </w:pPr>
          </w:p>
          <w:p w:rsidR="006B10FA" w:rsidRDefault="006B10FA" w:rsidP="006B10FA">
            <w:pPr>
              <w:rPr>
                <w:rFonts w:cstheme="minorHAnsi"/>
                <w:sz w:val="18"/>
                <w:szCs w:val="18"/>
              </w:rPr>
            </w:pPr>
          </w:p>
          <w:p w:rsidR="006B10FA" w:rsidRDefault="006B10FA" w:rsidP="006B10FA">
            <w:pPr>
              <w:rPr>
                <w:rFonts w:cstheme="minorHAnsi"/>
                <w:sz w:val="18"/>
                <w:szCs w:val="18"/>
              </w:rPr>
            </w:pPr>
          </w:p>
          <w:p w:rsidR="006B10FA" w:rsidRDefault="006B10FA" w:rsidP="006B10FA">
            <w:pPr>
              <w:rPr>
                <w:rFonts w:cstheme="minorHAnsi"/>
                <w:sz w:val="18"/>
                <w:szCs w:val="18"/>
              </w:rPr>
            </w:pPr>
          </w:p>
          <w:p w:rsidR="006B10FA" w:rsidRDefault="006B10FA" w:rsidP="006B10FA">
            <w:pPr>
              <w:rPr>
                <w:rFonts w:cstheme="minorHAnsi"/>
                <w:sz w:val="18"/>
                <w:szCs w:val="18"/>
              </w:rPr>
            </w:pPr>
          </w:p>
          <w:p w:rsidR="006B10FA" w:rsidRDefault="006B10FA" w:rsidP="006B10FA">
            <w:pPr>
              <w:rPr>
                <w:rFonts w:cstheme="minorHAnsi"/>
                <w:sz w:val="18"/>
                <w:szCs w:val="18"/>
              </w:rPr>
            </w:pPr>
          </w:p>
          <w:p w:rsidR="006B10FA" w:rsidRPr="00ED5B4E" w:rsidRDefault="006B10FA" w:rsidP="006B10FA">
            <w:pPr>
              <w:rPr>
                <w:rFonts w:cstheme="minorHAnsi"/>
                <w:sz w:val="18"/>
                <w:szCs w:val="18"/>
              </w:rPr>
            </w:pPr>
          </w:p>
        </w:tc>
      </w:tr>
      <w:tr w:rsidR="00C3597A" w:rsidRPr="005E6989" w:rsidTr="006B10FA">
        <w:tc>
          <w:tcPr>
            <w:tcW w:w="3325" w:type="dxa"/>
          </w:tcPr>
          <w:p w:rsidR="00C3597A" w:rsidRDefault="00ED5B4E" w:rsidP="00E62EFD">
            <w:pPr>
              <w:rPr>
                <w:rFonts w:cstheme="minorHAnsi"/>
                <w:b/>
                <w:sz w:val="18"/>
                <w:szCs w:val="18"/>
              </w:rPr>
            </w:pPr>
            <w:r w:rsidRPr="00ED5B4E">
              <w:rPr>
                <w:rFonts w:cstheme="minorHAnsi"/>
                <w:b/>
                <w:sz w:val="18"/>
                <w:szCs w:val="18"/>
              </w:rPr>
              <w:t>Style</w:t>
            </w:r>
          </w:p>
          <w:p w:rsidR="006B10FA" w:rsidRPr="006B10FA" w:rsidRDefault="006B10FA" w:rsidP="00E62EFD">
            <w:pPr>
              <w:rPr>
                <w:rFonts w:cstheme="minorHAnsi"/>
                <w:b/>
                <w:i/>
                <w:sz w:val="18"/>
                <w:szCs w:val="18"/>
              </w:rPr>
            </w:pPr>
            <w:r w:rsidRPr="006B10FA">
              <w:rPr>
                <w:rFonts w:cstheme="minorHAnsi"/>
                <w:i/>
                <w:sz w:val="16"/>
                <w:szCs w:val="18"/>
              </w:rPr>
              <w:t xml:space="preserve">Essay understandable to someone who has not read the materials discussed (student does not envision the professor as the only reader). </w:t>
            </w:r>
            <w:r w:rsidRPr="006B10FA">
              <w:rPr>
                <w:rFonts w:eastAsia="Times New Roman" w:cstheme="minorHAnsi"/>
                <w:i/>
                <w:color w:val="000000"/>
                <w:sz w:val="16"/>
                <w:szCs w:val="18"/>
              </w:rPr>
              <w:t xml:space="preserve">Writing is clear, logical, well-organized, and avoids wordiness. </w:t>
            </w:r>
            <w:r w:rsidRPr="006B10FA">
              <w:rPr>
                <w:rFonts w:cstheme="minorHAnsi"/>
                <w:i/>
                <w:sz w:val="16"/>
                <w:szCs w:val="18"/>
              </w:rPr>
              <w:t xml:space="preserve">Ideas are presented in a logical matter, with transitions between them. </w:t>
            </w:r>
            <w:r w:rsidRPr="006B10FA">
              <w:rPr>
                <w:rFonts w:eastAsia="Times New Roman" w:cstheme="minorHAnsi"/>
                <w:i/>
                <w:color w:val="000000"/>
                <w:sz w:val="16"/>
                <w:szCs w:val="18"/>
              </w:rPr>
              <w:t>Few or no grammar and spelling mistakes.</w:t>
            </w:r>
            <w:r>
              <w:rPr>
                <w:rFonts w:eastAsia="Times New Roman" w:cstheme="minorHAnsi"/>
                <w:i/>
                <w:color w:val="000000"/>
                <w:sz w:val="16"/>
                <w:szCs w:val="18"/>
              </w:rPr>
              <w:t xml:space="preserve"> </w:t>
            </w:r>
          </w:p>
        </w:tc>
        <w:tc>
          <w:tcPr>
            <w:tcW w:w="900" w:type="dxa"/>
          </w:tcPr>
          <w:p w:rsidR="000554CD" w:rsidRPr="00ED5B4E" w:rsidRDefault="000554CD" w:rsidP="00ED5B4E">
            <w:pPr>
              <w:rPr>
                <w:rFonts w:cstheme="minorHAnsi"/>
                <w:sz w:val="18"/>
                <w:szCs w:val="18"/>
              </w:rPr>
            </w:pPr>
          </w:p>
        </w:tc>
        <w:tc>
          <w:tcPr>
            <w:tcW w:w="2340" w:type="dxa"/>
          </w:tcPr>
          <w:p w:rsidR="00C3597A" w:rsidRPr="00ED5B4E" w:rsidRDefault="00C3597A" w:rsidP="00E62EFD">
            <w:pPr>
              <w:rPr>
                <w:rFonts w:cstheme="minorHAnsi"/>
                <w:sz w:val="18"/>
                <w:szCs w:val="18"/>
              </w:rPr>
            </w:pPr>
          </w:p>
        </w:tc>
        <w:tc>
          <w:tcPr>
            <w:tcW w:w="3314" w:type="dxa"/>
          </w:tcPr>
          <w:p w:rsidR="00C3597A" w:rsidRPr="00ED5B4E" w:rsidRDefault="00C3597A" w:rsidP="00ED5B4E">
            <w:pPr>
              <w:rPr>
                <w:rFonts w:cstheme="minorHAnsi"/>
                <w:sz w:val="18"/>
                <w:szCs w:val="18"/>
              </w:rPr>
            </w:pPr>
          </w:p>
        </w:tc>
      </w:tr>
    </w:tbl>
    <w:p w:rsidR="006B10FA" w:rsidRDefault="006B10FA">
      <w:pPr>
        <w:rPr>
          <w:rFonts w:eastAsia="Times New Roman" w:cstheme="minorHAnsi"/>
          <w:color w:val="000000"/>
          <w:sz w:val="16"/>
          <w:szCs w:val="16"/>
        </w:rPr>
      </w:pPr>
    </w:p>
    <w:p w:rsidR="006B10FA" w:rsidRDefault="00ED5B4E" w:rsidP="006B10FA">
      <w:pPr>
        <w:spacing w:after="0" w:line="240" w:lineRule="auto"/>
        <w:rPr>
          <w:rFonts w:eastAsia="Times New Roman" w:cstheme="minorHAnsi"/>
          <w:color w:val="000000"/>
          <w:sz w:val="16"/>
          <w:szCs w:val="16"/>
        </w:rPr>
      </w:pPr>
      <w:r w:rsidRPr="00ED5B4E">
        <w:rPr>
          <w:rFonts w:eastAsia="Times New Roman" w:cstheme="minorHAnsi"/>
          <w:color w:val="000000"/>
          <w:sz w:val="16"/>
          <w:szCs w:val="16"/>
        </w:rPr>
        <w:t>*</w:t>
      </w:r>
      <w:r>
        <w:rPr>
          <w:rFonts w:eastAsia="Times New Roman" w:cstheme="minorHAnsi"/>
          <w:color w:val="000000"/>
          <w:sz w:val="16"/>
          <w:szCs w:val="16"/>
        </w:rPr>
        <w:t>An</w:t>
      </w:r>
      <w:r w:rsidRPr="00ED5B4E">
        <w:rPr>
          <w:rFonts w:eastAsia="Times New Roman" w:cstheme="minorHAnsi"/>
          <w:color w:val="000000"/>
          <w:sz w:val="16"/>
          <w:szCs w:val="16"/>
        </w:rPr>
        <w:t xml:space="preserve"> </w:t>
      </w:r>
      <w:r w:rsidRPr="00ED5B4E">
        <w:rPr>
          <w:rFonts w:eastAsia="Times New Roman" w:cstheme="minorHAnsi"/>
          <w:b/>
          <w:color w:val="000000"/>
          <w:sz w:val="16"/>
          <w:szCs w:val="16"/>
        </w:rPr>
        <w:t>anthropological lens</w:t>
      </w:r>
      <w:r w:rsidRPr="00ED5B4E">
        <w:rPr>
          <w:rFonts w:eastAsia="Times New Roman" w:cstheme="minorHAnsi"/>
          <w:color w:val="000000"/>
          <w:sz w:val="16"/>
          <w:szCs w:val="16"/>
        </w:rPr>
        <w:t xml:space="preserve"> is a disciplinary perspective that includes:</w:t>
      </w:r>
    </w:p>
    <w:p w:rsidR="00ED5B4E" w:rsidRPr="006B10FA" w:rsidRDefault="00ED5B4E" w:rsidP="006B10FA">
      <w:pPr>
        <w:pStyle w:val="ListParagraph"/>
        <w:numPr>
          <w:ilvl w:val="0"/>
          <w:numId w:val="1"/>
        </w:numPr>
        <w:spacing w:after="120" w:line="240" w:lineRule="auto"/>
        <w:ind w:left="450" w:hanging="270"/>
        <w:rPr>
          <w:rFonts w:eastAsia="Times New Roman" w:cstheme="minorHAnsi"/>
          <w:color w:val="000000"/>
          <w:sz w:val="16"/>
          <w:szCs w:val="16"/>
        </w:rPr>
      </w:pPr>
      <w:r w:rsidRPr="006B10FA">
        <w:rPr>
          <w:rFonts w:cstheme="minorHAnsi"/>
          <w:b/>
          <w:sz w:val="16"/>
          <w:szCs w:val="16"/>
        </w:rPr>
        <w:t>Critical distance:</w:t>
      </w:r>
      <w:r w:rsidRPr="006B10FA">
        <w:rPr>
          <w:rFonts w:cstheme="minorHAnsi"/>
          <w:sz w:val="16"/>
          <w:szCs w:val="16"/>
        </w:rPr>
        <w:t xml:space="preserve"> Ste</w:t>
      </w:r>
      <w:bookmarkStart w:id="0" w:name="_GoBack"/>
      <w:bookmarkEnd w:id="0"/>
      <w:r w:rsidRPr="006B10FA">
        <w:rPr>
          <w:rFonts w:cstheme="minorHAnsi"/>
          <w:sz w:val="16"/>
          <w:szCs w:val="16"/>
        </w:rPr>
        <w:t>pping back far enough from your own perspectives and biases to provide a relatively dispassionate interpretation and analysis. At the same time, recognizing the limits of critical distance through reflexivity: acknowledgment of the personal element in the collection and analysis of data. It is common to use “I” when writing in anthropology.</w:t>
      </w:r>
    </w:p>
    <w:p w:rsidR="00ED5B4E" w:rsidRPr="006B10FA" w:rsidRDefault="00ED5B4E" w:rsidP="006B10FA">
      <w:pPr>
        <w:pStyle w:val="ListParagraph"/>
        <w:numPr>
          <w:ilvl w:val="0"/>
          <w:numId w:val="1"/>
        </w:numPr>
        <w:spacing w:after="120" w:line="240" w:lineRule="auto"/>
        <w:ind w:left="450" w:hanging="270"/>
        <w:rPr>
          <w:rFonts w:eastAsia="Times New Roman" w:cstheme="minorHAnsi"/>
          <w:color w:val="000000"/>
          <w:sz w:val="16"/>
          <w:szCs w:val="16"/>
        </w:rPr>
      </w:pPr>
      <w:r w:rsidRPr="006B10FA">
        <w:rPr>
          <w:rFonts w:eastAsia="Times New Roman" w:cstheme="minorHAnsi"/>
          <w:b/>
          <w:color w:val="000000"/>
          <w:sz w:val="16"/>
          <w:szCs w:val="16"/>
        </w:rPr>
        <w:t>Counteracting Inequalities:</w:t>
      </w:r>
      <w:r w:rsidRPr="006B10FA">
        <w:rPr>
          <w:rFonts w:eastAsia="Times New Roman" w:cstheme="minorHAnsi"/>
          <w:color w:val="000000"/>
          <w:sz w:val="16"/>
          <w:szCs w:val="16"/>
        </w:rPr>
        <w:t xml:space="preserve"> </w:t>
      </w:r>
      <w:r w:rsidRPr="006B10FA">
        <w:rPr>
          <w:rFonts w:cstheme="minorHAnsi"/>
          <w:color w:val="000000"/>
          <w:sz w:val="16"/>
          <w:szCs w:val="16"/>
        </w:rPr>
        <w:t>Anthropologists generally feel a responsibility to think carefully about the words that they used. This includes the use of emic terms (the words people use to label themselves), avoiding unnecessarily gendered language, and employing scare quotes to recognize the interpretive baggage of words for which there is no viable substitute. Words that can be problematic for implying judgment include “weird,” “normal,” “traditional”, “civilized,” and “primitive,” as well as “we” and “our” for indicating exclusivity in imagined audiences. Authors should also make clear their understanding of “race” as a social construct</w:t>
      </w:r>
    </w:p>
    <w:p w:rsidR="00ED5B4E" w:rsidRPr="006B10FA" w:rsidRDefault="00ED5B4E" w:rsidP="006B10FA">
      <w:pPr>
        <w:pStyle w:val="ListParagraph"/>
        <w:numPr>
          <w:ilvl w:val="0"/>
          <w:numId w:val="1"/>
        </w:numPr>
        <w:spacing w:after="120"/>
        <w:ind w:left="450" w:hanging="270"/>
        <w:rPr>
          <w:rFonts w:cstheme="minorHAnsi"/>
          <w:sz w:val="16"/>
          <w:szCs w:val="16"/>
        </w:rPr>
      </w:pPr>
      <w:r w:rsidRPr="006B10FA">
        <w:rPr>
          <w:rFonts w:cstheme="minorHAnsi"/>
          <w:b/>
          <w:sz w:val="16"/>
          <w:szCs w:val="16"/>
        </w:rPr>
        <w:t>Relativism</w:t>
      </w:r>
      <w:r w:rsidRPr="006B10FA">
        <w:rPr>
          <w:rFonts w:cstheme="minorHAnsi"/>
          <w:sz w:val="16"/>
          <w:szCs w:val="16"/>
        </w:rPr>
        <w:t>: Presenting difference in its own terms, without judgment, arranging it into a hierarchy, or making assumptions about emotion or value in why people do what they do. In focus is often issues of local concern and the articulation of insiders/native points of view.</w:t>
      </w:r>
    </w:p>
    <w:p w:rsidR="005E6989" w:rsidRPr="006B10FA" w:rsidRDefault="00ED5B4E" w:rsidP="006B10FA">
      <w:pPr>
        <w:pStyle w:val="ListParagraph"/>
        <w:numPr>
          <w:ilvl w:val="0"/>
          <w:numId w:val="1"/>
        </w:numPr>
        <w:spacing w:after="120"/>
        <w:ind w:left="450" w:hanging="270"/>
        <w:rPr>
          <w:rFonts w:cstheme="minorHAnsi"/>
          <w:sz w:val="16"/>
          <w:szCs w:val="16"/>
        </w:rPr>
      </w:pPr>
      <w:r w:rsidRPr="006B10FA">
        <w:rPr>
          <w:rFonts w:cstheme="minorHAnsi"/>
          <w:b/>
          <w:sz w:val="16"/>
          <w:szCs w:val="16"/>
        </w:rPr>
        <w:t>Making the Familiar Strange:</w:t>
      </w:r>
      <w:r w:rsidRPr="006B10FA">
        <w:rPr>
          <w:rFonts w:cstheme="minorHAnsi"/>
          <w:sz w:val="16"/>
          <w:szCs w:val="16"/>
        </w:rPr>
        <w:t xml:space="preserve"> Direct or indirect questioning and de-naturalization of conventional knowledge, cultural norms, and other presumptions about how the world works, while also showcasing the commonalities that unite humanity over space and time.</w:t>
      </w:r>
    </w:p>
    <w:sectPr w:rsidR="005E6989" w:rsidRPr="006B10FA" w:rsidSect="00ED5B4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32A1B"/>
    <w:multiLevelType w:val="hybridMultilevel"/>
    <w:tmpl w:val="024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89"/>
    <w:rsid w:val="000554CD"/>
    <w:rsid w:val="004A502C"/>
    <w:rsid w:val="005E6989"/>
    <w:rsid w:val="0067137B"/>
    <w:rsid w:val="006B10FA"/>
    <w:rsid w:val="007B2C02"/>
    <w:rsid w:val="00C3597A"/>
    <w:rsid w:val="00E62EFD"/>
    <w:rsid w:val="00ED5B4E"/>
    <w:rsid w:val="00F3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E624B-08F7-4187-BDA3-2B5BF517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69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0913">
      <w:bodyDiv w:val="1"/>
      <w:marLeft w:val="0"/>
      <w:marRight w:val="0"/>
      <w:marTop w:val="0"/>
      <w:marBottom w:val="0"/>
      <w:divBdr>
        <w:top w:val="none" w:sz="0" w:space="0" w:color="auto"/>
        <w:left w:val="none" w:sz="0" w:space="0" w:color="auto"/>
        <w:bottom w:val="none" w:sz="0" w:space="0" w:color="auto"/>
        <w:right w:val="none" w:sz="0" w:space="0" w:color="auto"/>
      </w:divBdr>
    </w:div>
    <w:div w:id="19218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450</Words>
  <Characters>2666</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Huhn</dc:creator>
  <cp:keywords/>
  <dc:description/>
  <cp:lastModifiedBy>Arianna Huhn</cp:lastModifiedBy>
  <cp:revision>7</cp:revision>
  <cp:lastPrinted>2021-03-12T00:29:00Z</cp:lastPrinted>
  <dcterms:created xsi:type="dcterms:W3CDTF">2021-03-11T23:05:00Z</dcterms:created>
  <dcterms:modified xsi:type="dcterms:W3CDTF">2021-03-18T23:21:00Z</dcterms:modified>
</cp:coreProperties>
</file>